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3C1" w:rsidRPr="00EA3938" w:rsidRDefault="000D5743" w:rsidP="003961BA">
      <w:pPr>
        <w:spacing w:beforeLines="100" w:before="312" w:afterLines="50" w:after="156" w:line="24" w:lineRule="atLeast"/>
        <w:jc w:val="center"/>
        <w:rPr>
          <w:rFonts w:ascii="方正小标宋简体" w:eastAsia="方正小标宋简体" w:hAnsi="仿宋"/>
          <w:color w:val="FF0000"/>
          <w:sz w:val="36"/>
          <w:szCs w:val="36"/>
        </w:rPr>
      </w:pPr>
      <w:r w:rsidRPr="000D5743">
        <w:rPr>
          <w:rFonts w:ascii="方正小标宋简体" w:eastAsia="方正小标宋简体" w:hAnsi="仿宋" w:hint="eastAsia"/>
          <w:color w:val="FF0000"/>
          <w:sz w:val="36"/>
          <w:szCs w:val="36"/>
        </w:rPr>
        <w:t>“</w:t>
      </w:r>
      <w:bookmarkStart w:id="0" w:name="_GoBack"/>
      <w:r w:rsidRPr="000D5743">
        <w:rPr>
          <w:rFonts w:ascii="方正小标宋简体" w:eastAsia="方正小标宋简体" w:hAnsi="仿宋" w:hint="eastAsia"/>
          <w:color w:val="FF0000"/>
          <w:sz w:val="36"/>
          <w:szCs w:val="36"/>
        </w:rPr>
        <w:t>总局办公厅公开征求《原料药、药用辅料及药包材与药品制剂共同审评审批管理办法（征求意见稿）》意见”及</w:t>
      </w:r>
      <w:r w:rsidR="00112F56" w:rsidRPr="00EA3938">
        <w:rPr>
          <w:rFonts w:ascii="方正小标宋简体" w:eastAsia="方正小标宋简体" w:hAnsi="仿宋" w:hint="eastAsia"/>
          <w:color w:val="FF0000"/>
          <w:sz w:val="36"/>
          <w:szCs w:val="36"/>
        </w:rPr>
        <w:t>“</w:t>
      </w:r>
      <w:r w:rsidR="00B50931" w:rsidRPr="00EA3938">
        <w:rPr>
          <w:rFonts w:ascii="方正小标宋简体" w:eastAsia="方正小标宋简体" w:hAnsi="仿宋" w:hint="eastAsia"/>
          <w:color w:val="FF0000"/>
          <w:sz w:val="36"/>
          <w:szCs w:val="36"/>
        </w:rPr>
        <w:t>关于调整原料药、药用辅料和药包材审评审批事项的公告</w:t>
      </w:r>
      <w:r w:rsidR="00112F56" w:rsidRPr="00EA3938">
        <w:rPr>
          <w:rFonts w:ascii="方正小标宋简体" w:eastAsia="方正小标宋简体" w:hAnsi="仿宋" w:hint="eastAsia"/>
          <w:color w:val="FF0000"/>
          <w:sz w:val="36"/>
          <w:szCs w:val="36"/>
        </w:rPr>
        <w:t>”</w:t>
      </w:r>
      <w:r w:rsidR="00B50931" w:rsidRPr="00EA3938">
        <w:rPr>
          <w:rFonts w:ascii="方正小标宋简体" w:eastAsia="方正小标宋简体" w:hAnsi="仿宋" w:hint="eastAsia"/>
          <w:color w:val="FF0000"/>
          <w:sz w:val="36"/>
          <w:szCs w:val="36"/>
        </w:rPr>
        <w:t>的</w:t>
      </w:r>
      <w:r>
        <w:rPr>
          <w:rFonts w:ascii="方正小标宋简体" w:eastAsia="方正小标宋简体" w:hAnsi="仿宋" w:hint="eastAsia"/>
          <w:color w:val="FF0000"/>
          <w:sz w:val="36"/>
          <w:szCs w:val="36"/>
        </w:rPr>
        <w:t>意见</w:t>
      </w:r>
      <w:r>
        <w:rPr>
          <w:rFonts w:ascii="方正小标宋简体" w:eastAsia="方正小标宋简体" w:hAnsi="仿宋"/>
          <w:color w:val="FF0000"/>
          <w:sz w:val="36"/>
          <w:szCs w:val="36"/>
        </w:rPr>
        <w:t>及</w:t>
      </w:r>
      <w:r w:rsidR="005B413B" w:rsidRPr="00EA3938">
        <w:rPr>
          <w:rFonts w:ascii="方正小标宋简体" w:eastAsia="方正小标宋简体" w:hAnsi="仿宋" w:hint="eastAsia"/>
          <w:color w:val="FF0000"/>
          <w:sz w:val="36"/>
          <w:szCs w:val="36"/>
        </w:rPr>
        <w:t>建议</w:t>
      </w:r>
      <w:bookmarkEnd w:id="0"/>
    </w:p>
    <w:p w:rsidR="00805969" w:rsidRPr="00F91738" w:rsidRDefault="00381F99" w:rsidP="00805969">
      <w:pPr>
        <w:spacing w:afterLines="50" w:after="156" w:line="24" w:lineRule="atLeast"/>
        <w:rPr>
          <w:rFonts w:ascii="仿宋" w:eastAsia="仿宋" w:hAnsi="仿宋"/>
          <w:color w:val="000000"/>
          <w:sz w:val="30"/>
          <w:szCs w:val="30"/>
        </w:rPr>
      </w:pPr>
      <w:r>
        <w:rPr>
          <w:rFonts w:ascii="仿宋" w:eastAsia="仿宋" w:hAnsi="仿宋" w:hint="eastAsia"/>
          <w:color w:val="000000"/>
          <w:sz w:val="30"/>
          <w:szCs w:val="30"/>
        </w:rPr>
        <w:t>致国家食品</w:t>
      </w:r>
      <w:r>
        <w:rPr>
          <w:rFonts w:ascii="仿宋" w:eastAsia="仿宋" w:hAnsi="仿宋"/>
          <w:color w:val="000000"/>
          <w:sz w:val="30"/>
          <w:szCs w:val="30"/>
        </w:rPr>
        <w:t>药品监督管理</w:t>
      </w:r>
      <w:r>
        <w:rPr>
          <w:rFonts w:ascii="仿宋" w:eastAsia="仿宋" w:hAnsi="仿宋" w:hint="eastAsia"/>
          <w:color w:val="000000"/>
          <w:sz w:val="30"/>
          <w:szCs w:val="30"/>
        </w:rPr>
        <w:t>总局</w:t>
      </w:r>
      <w:r w:rsidR="00FE4612">
        <w:rPr>
          <w:rFonts w:ascii="仿宋" w:eastAsia="仿宋" w:hAnsi="仿宋" w:hint="eastAsia"/>
          <w:color w:val="000000"/>
          <w:sz w:val="30"/>
          <w:szCs w:val="30"/>
        </w:rPr>
        <w:t>注册司</w:t>
      </w:r>
      <w:r w:rsidR="00805969" w:rsidRPr="00F91738">
        <w:rPr>
          <w:rFonts w:ascii="仿宋" w:eastAsia="仿宋" w:hAnsi="仿宋" w:hint="eastAsia"/>
          <w:color w:val="000000"/>
          <w:sz w:val="30"/>
          <w:szCs w:val="30"/>
        </w:rPr>
        <w:t>：</w:t>
      </w:r>
    </w:p>
    <w:p w:rsidR="009C4EC8" w:rsidRDefault="00F91738" w:rsidP="00805969">
      <w:pPr>
        <w:spacing w:afterLines="50" w:after="156" w:line="24" w:lineRule="atLeast"/>
        <w:rPr>
          <w:rFonts w:ascii="仿宋" w:eastAsia="仿宋" w:hAnsi="仿宋"/>
          <w:color w:val="000000"/>
          <w:sz w:val="30"/>
          <w:szCs w:val="30"/>
        </w:rPr>
      </w:pPr>
      <w:r>
        <w:rPr>
          <w:rFonts w:ascii="仿宋" w:eastAsia="仿宋" w:hAnsi="仿宋" w:hint="eastAsia"/>
          <w:color w:val="000000"/>
          <w:sz w:val="30"/>
          <w:szCs w:val="30"/>
        </w:rPr>
        <w:t xml:space="preserve">     </w:t>
      </w:r>
      <w:r w:rsidR="00063934">
        <w:rPr>
          <w:rFonts w:ascii="仿宋" w:eastAsia="仿宋" w:hAnsi="仿宋" w:hint="eastAsia"/>
          <w:color w:val="000000"/>
          <w:sz w:val="30"/>
          <w:szCs w:val="30"/>
        </w:rPr>
        <w:t>我们</w:t>
      </w:r>
      <w:r w:rsidR="00063934">
        <w:rPr>
          <w:rFonts w:ascii="仿宋" w:eastAsia="仿宋" w:hAnsi="仿宋"/>
          <w:color w:val="000000"/>
          <w:sz w:val="30"/>
          <w:szCs w:val="30"/>
        </w:rPr>
        <w:t>于</w:t>
      </w:r>
      <w:r w:rsidR="00063934">
        <w:rPr>
          <w:rFonts w:ascii="仿宋" w:eastAsia="仿宋" w:hAnsi="仿宋" w:hint="eastAsia"/>
          <w:color w:val="000000"/>
          <w:sz w:val="30"/>
          <w:szCs w:val="30"/>
        </w:rPr>
        <w:t>2017年12月5日</w:t>
      </w:r>
      <w:r w:rsidR="00063934">
        <w:rPr>
          <w:rFonts w:ascii="仿宋" w:eastAsia="仿宋" w:hAnsi="仿宋"/>
          <w:color w:val="000000"/>
          <w:sz w:val="30"/>
          <w:szCs w:val="30"/>
        </w:rPr>
        <w:t>看到</w:t>
      </w:r>
      <w:r w:rsidR="00063934">
        <w:rPr>
          <w:rFonts w:ascii="仿宋" w:eastAsia="仿宋" w:hAnsi="仿宋" w:hint="eastAsia"/>
          <w:color w:val="000000"/>
          <w:sz w:val="30"/>
          <w:szCs w:val="30"/>
        </w:rPr>
        <w:t>“</w:t>
      </w:r>
      <w:r w:rsidR="00063934" w:rsidRPr="00063934">
        <w:rPr>
          <w:rFonts w:ascii="仿宋" w:eastAsia="仿宋" w:hAnsi="仿宋" w:hint="eastAsia"/>
          <w:color w:val="000000"/>
          <w:sz w:val="30"/>
          <w:szCs w:val="30"/>
        </w:rPr>
        <w:t>总局办公厅公开征求《原料药、药用辅料及药包材与药品制剂共同审评审批管理办法（征求意见稿）》意见</w:t>
      </w:r>
      <w:r w:rsidR="00063934">
        <w:rPr>
          <w:rFonts w:ascii="仿宋" w:eastAsia="仿宋" w:hAnsi="仿宋" w:hint="eastAsia"/>
          <w:color w:val="000000"/>
          <w:sz w:val="30"/>
          <w:szCs w:val="30"/>
        </w:rPr>
        <w:t>”，中国药用</w:t>
      </w:r>
      <w:r w:rsidR="00063934">
        <w:rPr>
          <w:rFonts w:ascii="仿宋" w:eastAsia="仿宋" w:hAnsi="仿宋"/>
          <w:color w:val="000000"/>
          <w:sz w:val="30"/>
          <w:szCs w:val="30"/>
        </w:rPr>
        <w:t>辅料发展联盟</w:t>
      </w:r>
      <w:r w:rsidR="003F4229">
        <w:rPr>
          <w:rFonts w:ascii="仿宋" w:eastAsia="仿宋" w:hAnsi="仿宋" w:hint="eastAsia"/>
          <w:color w:val="000000"/>
          <w:sz w:val="30"/>
          <w:szCs w:val="30"/>
        </w:rPr>
        <w:t>（CPEC）</w:t>
      </w:r>
      <w:r w:rsidR="00063934">
        <w:rPr>
          <w:rFonts w:ascii="仿宋" w:eastAsia="仿宋" w:hAnsi="仿宋"/>
          <w:color w:val="000000"/>
          <w:sz w:val="30"/>
          <w:szCs w:val="30"/>
        </w:rPr>
        <w:t>旗下</w:t>
      </w:r>
      <w:r w:rsidR="00054708">
        <w:rPr>
          <w:rFonts w:ascii="仿宋" w:eastAsia="仿宋" w:hAnsi="仿宋"/>
          <w:color w:val="000000"/>
          <w:sz w:val="30"/>
          <w:szCs w:val="30"/>
        </w:rPr>
        <w:t>21</w:t>
      </w:r>
      <w:r w:rsidR="00063934">
        <w:rPr>
          <w:rFonts w:ascii="仿宋" w:eastAsia="仿宋" w:hAnsi="仿宋" w:hint="eastAsia"/>
          <w:color w:val="000000"/>
          <w:sz w:val="30"/>
          <w:szCs w:val="30"/>
        </w:rPr>
        <w:t>家</w:t>
      </w:r>
      <w:r w:rsidR="00063934">
        <w:rPr>
          <w:rFonts w:ascii="仿宋" w:eastAsia="仿宋" w:hAnsi="仿宋"/>
          <w:color w:val="000000"/>
          <w:sz w:val="30"/>
          <w:szCs w:val="30"/>
        </w:rPr>
        <w:t>会员单位参与了这次的</w:t>
      </w:r>
      <w:r w:rsidR="00063934">
        <w:rPr>
          <w:rFonts w:ascii="仿宋" w:eastAsia="仿宋" w:hAnsi="仿宋" w:hint="eastAsia"/>
          <w:color w:val="000000"/>
          <w:sz w:val="30"/>
          <w:szCs w:val="30"/>
        </w:rPr>
        <w:t>征求</w:t>
      </w:r>
      <w:r w:rsidR="00063934">
        <w:rPr>
          <w:rFonts w:ascii="仿宋" w:eastAsia="仿宋" w:hAnsi="仿宋"/>
          <w:color w:val="000000"/>
          <w:sz w:val="30"/>
          <w:szCs w:val="30"/>
        </w:rPr>
        <w:t>意见</w:t>
      </w:r>
      <w:r w:rsidR="00063934">
        <w:rPr>
          <w:rFonts w:ascii="仿宋" w:eastAsia="仿宋" w:hAnsi="仿宋" w:hint="eastAsia"/>
          <w:color w:val="000000"/>
          <w:sz w:val="30"/>
          <w:szCs w:val="30"/>
        </w:rPr>
        <w:t>。</w:t>
      </w:r>
    </w:p>
    <w:p w:rsidR="00805969" w:rsidRPr="00F91738" w:rsidRDefault="00F91738" w:rsidP="00FB7730">
      <w:pPr>
        <w:spacing w:afterLines="50" w:after="156" w:line="24" w:lineRule="atLeast"/>
        <w:ind w:firstLineChars="200" w:firstLine="600"/>
        <w:rPr>
          <w:rFonts w:ascii="仿宋" w:eastAsia="仿宋" w:hAnsi="仿宋"/>
          <w:color w:val="000000"/>
          <w:sz w:val="30"/>
          <w:szCs w:val="30"/>
        </w:rPr>
      </w:pPr>
      <w:r>
        <w:rPr>
          <w:rFonts w:ascii="仿宋" w:eastAsia="仿宋" w:hAnsi="仿宋" w:hint="eastAsia"/>
          <w:color w:val="000000"/>
          <w:sz w:val="30"/>
          <w:szCs w:val="30"/>
        </w:rPr>
        <w:t>有关建议如下：</w:t>
      </w:r>
    </w:p>
    <w:p w:rsidR="004D1E09" w:rsidRPr="00910CD9" w:rsidRDefault="00805969" w:rsidP="00F91738">
      <w:pPr>
        <w:spacing w:afterLines="50" w:after="156" w:line="24" w:lineRule="atLeast"/>
        <w:ind w:firstLineChars="200" w:firstLine="602"/>
        <w:rPr>
          <w:rFonts w:ascii="仿宋" w:eastAsia="仿宋" w:hAnsi="仿宋"/>
          <w:b/>
          <w:sz w:val="30"/>
          <w:szCs w:val="30"/>
        </w:rPr>
      </w:pPr>
      <w:r w:rsidRPr="00910CD9">
        <w:rPr>
          <w:rFonts w:ascii="仿宋" w:eastAsia="仿宋" w:hAnsi="仿宋" w:hint="eastAsia"/>
          <w:b/>
          <w:sz w:val="30"/>
          <w:szCs w:val="30"/>
        </w:rPr>
        <w:t>一、</w:t>
      </w:r>
      <w:r w:rsidR="004D1E09" w:rsidRPr="00AD3C60">
        <w:rPr>
          <w:rFonts w:ascii="仿宋" w:eastAsia="仿宋" w:hAnsi="仿宋" w:hint="eastAsia"/>
          <w:sz w:val="30"/>
          <w:szCs w:val="30"/>
        </w:rPr>
        <w:t>针对</w:t>
      </w:r>
      <w:r w:rsidR="00EA3938">
        <w:rPr>
          <w:rFonts w:ascii="仿宋" w:eastAsia="仿宋" w:hAnsi="仿宋" w:hint="eastAsia"/>
          <w:b/>
          <w:sz w:val="30"/>
          <w:szCs w:val="30"/>
        </w:rPr>
        <w:t>“</w:t>
      </w:r>
      <w:r w:rsidR="00EA3938" w:rsidRPr="00910CD9">
        <w:rPr>
          <w:rFonts w:ascii="仿宋" w:eastAsia="仿宋" w:hAnsi="仿宋" w:hint="eastAsia"/>
          <w:b/>
          <w:sz w:val="30"/>
          <w:szCs w:val="30"/>
        </w:rPr>
        <w:t>总局关于调整原料药、药用辅料和药包材审评审批事项的公告（2017年第146号）</w:t>
      </w:r>
      <w:r w:rsidR="00EA3938">
        <w:rPr>
          <w:rFonts w:ascii="仿宋" w:eastAsia="仿宋" w:hAnsi="仿宋" w:hint="eastAsia"/>
          <w:b/>
          <w:sz w:val="30"/>
          <w:szCs w:val="30"/>
        </w:rPr>
        <w:t>”</w:t>
      </w:r>
      <w:r w:rsidR="004D1E09" w:rsidRPr="00AD3C60">
        <w:rPr>
          <w:rFonts w:ascii="仿宋" w:eastAsia="仿宋" w:hAnsi="仿宋" w:hint="eastAsia"/>
          <w:sz w:val="30"/>
          <w:szCs w:val="30"/>
        </w:rPr>
        <w:t>中“</w:t>
      </w:r>
      <w:r w:rsidR="004D1E09" w:rsidRPr="00AD3C60">
        <w:rPr>
          <w:rFonts w:ascii="仿宋" w:eastAsia="仿宋" w:hAnsi="仿宋" w:hint="eastAsia"/>
          <w:color w:val="000000"/>
          <w:sz w:val="30"/>
          <w:szCs w:val="30"/>
        </w:rPr>
        <w:t>四、药用辅料登记资料主要内容：企业基本信息、辅料基本信息、生产信息、特性鉴定、质量控制、批检验报告、稳定性研究、药理毒理研究等。具体内容应当符合《关于发布药包材药用辅料申报资料要求（试行）的通告》（国家食品药品监督管理总局通告2016年第155号）中药用辅料申报资料要求。</w:t>
      </w:r>
      <w:r w:rsidR="004D1E09" w:rsidRPr="00AD3C60">
        <w:rPr>
          <w:rFonts w:ascii="仿宋" w:eastAsia="仿宋" w:hAnsi="仿宋" w:hint="eastAsia"/>
          <w:sz w:val="30"/>
          <w:szCs w:val="30"/>
        </w:rPr>
        <w:t>”的</w:t>
      </w:r>
      <w:r w:rsidR="004D1E09" w:rsidRPr="00AD3C60">
        <w:rPr>
          <w:rFonts w:ascii="仿宋" w:eastAsia="仿宋" w:hAnsi="仿宋"/>
          <w:sz w:val="30"/>
          <w:szCs w:val="30"/>
        </w:rPr>
        <w:t>建议</w:t>
      </w:r>
      <w:r w:rsidR="001F11D6" w:rsidRPr="00AD3C60">
        <w:rPr>
          <w:rFonts w:ascii="仿宋" w:eastAsia="仿宋" w:hAnsi="仿宋" w:hint="eastAsia"/>
          <w:sz w:val="30"/>
          <w:szCs w:val="30"/>
        </w:rPr>
        <w:t>。</w:t>
      </w:r>
    </w:p>
    <w:p w:rsidR="00485832" w:rsidRDefault="00910CD9" w:rsidP="00485832">
      <w:pPr>
        <w:spacing w:afterLines="50" w:after="156" w:line="24" w:lineRule="atLeast"/>
        <w:ind w:firstLineChars="200" w:firstLine="600"/>
        <w:rPr>
          <w:rFonts w:ascii="仿宋" w:eastAsia="仿宋" w:hAnsi="仿宋"/>
          <w:color w:val="1F4E79" w:themeColor="accent1" w:themeShade="80"/>
          <w:sz w:val="30"/>
          <w:szCs w:val="30"/>
        </w:rPr>
      </w:pPr>
      <w:r w:rsidRPr="00910CD9">
        <w:rPr>
          <w:rFonts w:ascii="仿宋" w:eastAsia="仿宋" w:hAnsi="仿宋" w:hint="eastAsia"/>
          <w:color w:val="1F4E79" w:themeColor="accent1" w:themeShade="80"/>
          <w:sz w:val="30"/>
          <w:szCs w:val="30"/>
        </w:rPr>
        <w:t xml:space="preserve">1. </w:t>
      </w:r>
      <w:r w:rsidRPr="00FC3332">
        <w:rPr>
          <w:rFonts w:ascii="仿宋" w:eastAsia="仿宋" w:hAnsi="仿宋" w:hint="eastAsia"/>
          <w:color w:val="1F4E79" w:themeColor="accent1" w:themeShade="80"/>
          <w:sz w:val="30"/>
          <w:szCs w:val="30"/>
        </w:rPr>
        <w:t>有些条款需细化，如申报资料的封面</w:t>
      </w:r>
      <w:r>
        <w:rPr>
          <w:rFonts w:ascii="仿宋" w:eastAsia="仿宋" w:hAnsi="仿宋" w:hint="eastAsia"/>
          <w:color w:val="1F4E79" w:themeColor="accent1" w:themeShade="80"/>
          <w:sz w:val="30"/>
          <w:szCs w:val="30"/>
        </w:rPr>
        <w:t>样式</w:t>
      </w:r>
      <w:r w:rsidRPr="00FC3332">
        <w:rPr>
          <w:rFonts w:ascii="仿宋" w:eastAsia="仿宋" w:hAnsi="仿宋" w:hint="eastAsia"/>
          <w:color w:val="1F4E79" w:themeColor="accent1" w:themeShade="80"/>
          <w:sz w:val="30"/>
          <w:szCs w:val="30"/>
        </w:rPr>
        <w:t>、字体</w:t>
      </w:r>
      <w:r>
        <w:rPr>
          <w:rFonts w:ascii="仿宋" w:eastAsia="仿宋" w:hAnsi="仿宋" w:hint="eastAsia"/>
          <w:color w:val="1F4E79" w:themeColor="accent1" w:themeShade="80"/>
          <w:sz w:val="30"/>
          <w:szCs w:val="30"/>
        </w:rPr>
        <w:t>、</w:t>
      </w:r>
      <w:r>
        <w:rPr>
          <w:rFonts w:ascii="仿宋" w:eastAsia="仿宋" w:hAnsi="仿宋"/>
          <w:color w:val="1F4E79" w:themeColor="accent1" w:themeShade="80"/>
          <w:sz w:val="30"/>
          <w:szCs w:val="30"/>
        </w:rPr>
        <w:t>文件格式</w:t>
      </w:r>
      <w:r w:rsidRPr="00FC3332">
        <w:rPr>
          <w:rFonts w:ascii="仿宋" w:eastAsia="仿宋" w:hAnsi="仿宋" w:hint="eastAsia"/>
          <w:color w:val="1F4E79" w:themeColor="accent1" w:themeShade="80"/>
          <w:sz w:val="30"/>
          <w:szCs w:val="30"/>
        </w:rPr>
        <w:t>等具体要求</w:t>
      </w:r>
      <w:r>
        <w:rPr>
          <w:rFonts w:ascii="仿宋" w:eastAsia="仿宋" w:hAnsi="仿宋" w:hint="eastAsia"/>
          <w:color w:val="1F4E79" w:themeColor="accent1" w:themeShade="80"/>
          <w:sz w:val="30"/>
          <w:szCs w:val="30"/>
        </w:rPr>
        <w:t>，对于</w:t>
      </w:r>
      <w:r>
        <w:rPr>
          <w:rFonts w:ascii="仿宋" w:eastAsia="仿宋" w:hAnsi="仿宋"/>
          <w:color w:val="1F4E79" w:themeColor="accent1" w:themeShade="80"/>
          <w:sz w:val="30"/>
          <w:szCs w:val="30"/>
        </w:rPr>
        <w:t>进口药用辅料是否需要中英文对照</w:t>
      </w:r>
      <w:r>
        <w:rPr>
          <w:rFonts w:ascii="仿宋" w:eastAsia="仿宋" w:hAnsi="仿宋" w:hint="eastAsia"/>
          <w:color w:val="1F4E79" w:themeColor="accent1" w:themeShade="80"/>
          <w:sz w:val="30"/>
          <w:szCs w:val="30"/>
        </w:rPr>
        <w:t>，</w:t>
      </w:r>
      <w:r w:rsidRPr="00FC3332">
        <w:rPr>
          <w:rFonts w:ascii="仿宋" w:eastAsia="仿宋" w:hAnsi="仿宋" w:hint="eastAsia"/>
          <w:color w:val="1F4E79" w:themeColor="accent1" w:themeShade="80"/>
          <w:sz w:val="30"/>
          <w:szCs w:val="30"/>
        </w:rPr>
        <w:t>便于申请人操作。</w:t>
      </w:r>
    </w:p>
    <w:p w:rsidR="00485832" w:rsidRDefault="00485832" w:rsidP="00485832">
      <w:pPr>
        <w:spacing w:afterLines="50" w:after="156" w:line="24" w:lineRule="atLeast"/>
        <w:ind w:firstLineChars="200" w:firstLine="600"/>
        <w:rPr>
          <w:rFonts w:ascii="仿宋" w:eastAsia="仿宋" w:hAnsi="仿宋"/>
          <w:color w:val="1F4E79" w:themeColor="accent1" w:themeShade="80"/>
          <w:sz w:val="30"/>
          <w:szCs w:val="30"/>
        </w:rPr>
      </w:pPr>
      <w:r>
        <w:rPr>
          <w:rFonts w:ascii="仿宋" w:eastAsia="仿宋" w:hAnsi="仿宋" w:hint="eastAsia"/>
          <w:color w:val="1F4E79" w:themeColor="accent1" w:themeShade="80"/>
          <w:sz w:val="30"/>
          <w:szCs w:val="30"/>
        </w:rPr>
        <w:t xml:space="preserve">2. </w:t>
      </w:r>
      <w:r w:rsidR="004D1E09" w:rsidRPr="001F11D6">
        <w:rPr>
          <w:rFonts w:ascii="仿宋" w:eastAsia="仿宋" w:hAnsi="仿宋" w:hint="eastAsia"/>
          <w:color w:val="1F4E79" w:themeColor="accent1" w:themeShade="80"/>
          <w:sz w:val="30"/>
          <w:szCs w:val="30"/>
        </w:rPr>
        <w:t>由于预混辅料不同于单一辅料的性质及其工艺的简单性，故应细化和明确预混辅料与其他单一辅料在关联审评所提供资料方面的不同要求。“关键步骤”、“中间体控制”、“结构确证”、“杂质分析”等内容不太适用于预混辅料的研究，故建议不做明确要求。同时，根据所了解的美国DMF申报要求来看，CFDA可更多地要求预混辅料及其所构成之各辅料的质量控制手段。</w:t>
      </w:r>
    </w:p>
    <w:p w:rsidR="004D1E09" w:rsidRPr="001F11D6" w:rsidRDefault="00485832" w:rsidP="00485832">
      <w:pPr>
        <w:spacing w:afterLines="50" w:after="156" w:line="24" w:lineRule="atLeast"/>
        <w:ind w:firstLineChars="200" w:firstLine="600"/>
        <w:rPr>
          <w:rFonts w:ascii="仿宋" w:eastAsia="仿宋" w:hAnsi="仿宋"/>
          <w:color w:val="1F4E79" w:themeColor="accent1" w:themeShade="80"/>
          <w:sz w:val="30"/>
          <w:szCs w:val="30"/>
        </w:rPr>
      </w:pPr>
      <w:r>
        <w:rPr>
          <w:rFonts w:ascii="仿宋" w:eastAsia="仿宋" w:hAnsi="仿宋" w:hint="eastAsia"/>
          <w:color w:val="1F4E79" w:themeColor="accent1" w:themeShade="80"/>
          <w:sz w:val="30"/>
          <w:szCs w:val="30"/>
        </w:rPr>
        <w:t xml:space="preserve">3. </w:t>
      </w:r>
      <w:r w:rsidR="004D1E09" w:rsidRPr="001F11D6">
        <w:rPr>
          <w:rFonts w:ascii="仿宋" w:eastAsia="仿宋" w:hAnsi="仿宋" w:hint="eastAsia"/>
          <w:color w:val="1F4E79" w:themeColor="accent1" w:themeShade="80"/>
          <w:sz w:val="30"/>
          <w:szCs w:val="30"/>
        </w:rPr>
        <w:t>薄膜包衣预混辅料作为预混辅料中的主要一类产品，其所涉及的被包衣制剂的面很广，故其组分（配方）既有针对性，又具有多样性，在尚未确定关联制剂的情况下无法预先提供其完整而准确的配方组成。同时，每一个针对具体制剂所设计的薄膜包衣预混辅料配方都是薄膜包衣预混辅料生产企业的核心技术，应尽可能地予以保护。因此希望药审中心在就辅料与制剂关联审批审评的程序制定或备案系统的设计方面，应充分考虑到上述两方面的实际情况。具体的建议是：要求薄膜包衣预混辅料生产企业在首次提交申报资料时，列出薄膜包衣预混辅料（可细分胃溶型和肠溶性2种）所能使用到的所有组成成分及其在配方中的含量范围。当关联药品申报时，药审中心评审专家对于包衣配方组成有审查意向的，薄膜包衣预混辅料生产企业可通过如下</w:t>
      </w:r>
      <w:r w:rsidR="001F11D6">
        <w:rPr>
          <w:rFonts w:ascii="仿宋" w:eastAsia="仿宋" w:hAnsi="仿宋" w:hint="eastAsia"/>
          <w:color w:val="1F4E79" w:themeColor="accent1" w:themeShade="80"/>
          <w:sz w:val="30"/>
          <w:szCs w:val="30"/>
        </w:rPr>
        <w:t>两种方案进行反馈，避免通过制剂厂商递交包衣组成这一重要技术资料。</w:t>
      </w:r>
    </w:p>
    <w:p w:rsidR="004D1E09" w:rsidRPr="001F11D6" w:rsidRDefault="004D1E09" w:rsidP="001F11D6">
      <w:pPr>
        <w:spacing w:afterLines="50" w:after="156" w:line="24" w:lineRule="atLeast"/>
        <w:ind w:firstLineChars="200" w:firstLine="600"/>
        <w:rPr>
          <w:rFonts w:ascii="仿宋" w:eastAsia="仿宋" w:hAnsi="仿宋"/>
          <w:color w:val="1F4E79" w:themeColor="accent1" w:themeShade="80"/>
          <w:sz w:val="30"/>
          <w:szCs w:val="30"/>
        </w:rPr>
      </w:pPr>
      <w:r w:rsidRPr="001F11D6">
        <w:rPr>
          <w:rFonts w:ascii="仿宋" w:eastAsia="仿宋" w:hAnsi="仿宋" w:hint="eastAsia"/>
          <w:color w:val="1F4E79" w:themeColor="accent1" w:themeShade="80"/>
          <w:sz w:val="30"/>
          <w:szCs w:val="30"/>
        </w:rPr>
        <w:t>方案</w:t>
      </w:r>
      <w:r w:rsidRPr="001F11D6">
        <w:rPr>
          <w:rFonts w:ascii="仿宋" w:eastAsia="仿宋" w:hAnsi="仿宋"/>
          <w:color w:val="1F4E79" w:themeColor="accent1" w:themeShade="80"/>
          <w:sz w:val="30"/>
          <w:szCs w:val="30"/>
        </w:rPr>
        <w:t>一</w:t>
      </w:r>
      <w:r w:rsidRPr="001F11D6">
        <w:rPr>
          <w:rFonts w:ascii="仿宋" w:eastAsia="仿宋" w:hAnsi="仿宋" w:hint="eastAsia"/>
          <w:color w:val="1F4E79" w:themeColor="accent1" w:themeShade="80"/>
          <w:sz w:val="30"/>
          <w:szCs w:val="30"/>
        </w:rPr>
        <w:t>：药审中心评审专家可通过薄膜包衣预混辅料生产企业提供给关联制剂厂商的产品编号，检索薄膜包衣预混辅料生产企业的登记信息，薄膜包衣预混辅料生产企业在关联审评之前更新（或细化）登</w:t>
      </w:r>
      <w:r w:rsidR="001F11D6">
        <w:rPr>
          <w:rFonts w:ascii="仿宋" w:eastAsia="仿宋" w:hAnsi="仿宋" w:hint="eastAsia"/>
          <w:color w:val="1F4E79" w:themeColor="accent1" w:themeShade="80"/>
          <w:sz w:val="30"/>
          <w:szCs w:val="30"/>
        </w:rPr>
        <w:t>记的关联审评资料，将配方组成及含量填写在登记信息的其中一张表上。</w:t>
      </w:r>
    </w:p>
    <w:p w:rsidR="00126FED" w:rsidRPr="00485832" w:rsidRDefault="004D1E09" w:rsidP="00485832">
      <w:pPr>
        <w:spacing w:afterLines="50" w:after="156" w:line="24" w:lineRule="atLeast"/>
        <w:ind w:firstLineChars="200" w:firstLine="600"/>
        <w:rPr>
          <w:rFonts w:ascii="仿宋" w:eastAsia="仿宋" w:hAnsi="仿宋"/>
          <w:b/>
          <w:sz w:val="30"/>
          <w:szCs w:val="30"/>
        </w:rPr>
      </w:pPr>
      <w:r w:rsidRPr="001F11D6">
        <w:rPr>
          <w:rFonts w:ascii="仿宋" w:eastAsia="仿宋" w:hAnsi="仿宋" w:hint="eastAsia"/>
          <w:color w:val="1F4E79" w:themeColor="accent1" w:themeShade="80"/>
          <w:sz w:val="30"/>
          <w:szCs w:val="30"/>
        </w:rPr>
        <w:t>方案</w:t>
      </w:r>
      <w:r w:rsidRPr="001F11D6">
        <w:rPr>
          <w:rFonts w:ascii="仿宋" w:eastAsia="仿宋" w:hAnsi="仿宋"/>
          <w:color w:val="1F4E79" w:themeColor="accent1" w:themeShade="80"/>
          <w:sz w:val="30"/>
          <w:szCs w:val="30"/>
        </w:rPr>
        <w:t>二：</w:t>
      </w:r>
      <w:r w:rsidRPr="001F11D6">
        <w:rPr>
          <w:rFonts w:ascii="仿宋" w:eastAsia="仿宋" w:hAnsi="仿宋" w:hint="eastAsia"/>
          <w:color w:val="1F4E79" w:themeColor="accent1" w:themeShade="80"/>
          <w:sz w:val="30"/>
          <w:szCs w:val="30"/>
        </w:rPr>
        <w:t>药审中心评审专家在审核制剂厂商时，去函关联的薄膜包衣预混辅料生产企业咨询薄膜包衣预混辅料配方组成及含量，薄膜包衣预混辅料生产企业以函的形式回复其配方组成与含量。</w:t>
      </w:r>
    </w:p>
    <w:p w:rsidR="000E3032" w:rsidRPr="00124714" w:rsidRDefault="00485832" w:rsidP="00124714">
      <w:pPr>
        <w:spacing w:afterLines="50" w:after="156" w:line="24" w:lineRule="atLeast"/>
        <w:ind w:firstLineChars="200" w:firstLine="600"/>
        <w:rPr>
          <w:rFonts w:ascii="仿宋" w:eastAsia="仿宋" w:hAnsi="仿宋"/>
          <w:sz w:val="30"/>
          <w:szCs w:val="30"/>
        </w:rPr>
      </w:pPr>
      <w:r>
        <w:rPr>
          <w:rFonts w:ascii="仿宋" w:eastAsia="仿宋" w:hAnsi="仿宋" w:hint="eastAsia"/>
          <w:sz w:val="30"/>
          <w:szCs w:val="30"/>
        </w:rPr>
        <w:t>二</w:t>
      </w:r>
      <w:r w:rsidR="00124714">
        <w:rPr>
          <w:rFonts w:ascii="仿宋" w:eastAsia="仿宋" w:hAnsi="仿宋" w:hint="eastAsia"/>
          <w:sz w:val="30"/>
          <w:szCs w:val="30"/>
        </w:rPr>
        <w:t>、</w:t>
      </w:r>
      <w:r w:rsidR="000E3032" w:rsidRPr="00124714">
        <w:rPr>
          <w:rFonts w:ascii="仿宋" w:eastAsia="仿宋" w:hAnsi="仿宋" w:hint="eastAsia"/>
          <w:sz w:val="30"/>
          <w:szCs w:val="30"/>
        </w:rPr>
        <w:t>针对</w:t>
      </w:r>
      <w:r w:rsidR="00EA3938">
        <w:rPr>
          <w:rFonts w:ascii="仿宋" w:eastAsia="仿宋" w:hAnsi="仿宋" w:hint="eastAsia"/>
          <w:sz w:val="30"/>
          <w:szCs w:val="30"/>
        </w:rPr>
        <w:t>“</w:t>
      </w:r>
      <w:r w:rsidR="00EA3938" w:rsidRPr="00124714">
        <w:rPr>
          <w:rFonts w:ascii="仿宋" w:eastAsia="仿宋" w:hAnsi="仿宋" w:hint="eastAsia"/>
          <w:b/>
          <w:sz w:val="30"/>
          <w:szCs w:val="30"/>
        </w:rPr>
        <w:t>总局关于调整原料药、药用辅料和药包材审评审批事项的公告（2017年第146号）</w:t>
      </w:r>
      <w:r w:rsidR="00EA3938">
        <w:rPr>
          <w:rFonts w:ascii="仿宋" w:eastAsia="仿宋" w:hAnsi="仿宋" w:hint="eastAsia"/>
          <w:sz w:val="30"/>
          <w:szCs w:val="30"/>
        </w:rPr>
        <w:t>”</w:t>
      </w:r>
      <w:r w:rsidR="00000A35" w:rsidRPr="00124714">
        <w:rPr>
          <w:rFonts w:ascii="仿宋" w:eastAsia="仿宋" w:hAnsi="仿宋" w:hint="eastAsia"/>
          <w:sz w:val="30"/>
          <w:szCs w:val="30"/>
        </w:rPr>
        <w:t>中</w:t>
      </w:r>
      <w:r w:rsidR="000E3032" w:rsidRPr="00124714">
        <w:rPr>
          <w:rFonts w:ascii="仿宋" w:eastAsia="仿宋" w:hAnsi="仿宋" w:hint="eastAsia"/>
          <w:sz w:val="30"/>
          <w:szCs w:val="30"/>
        </w:rPr>
        <w:t>“</w:t>
      </w:r>
      <w:r w:rsidR="000E3032" w:rsidRPr="00124714">
        <w:rPr>
          <w:rFonts w:ascii="仿宋" w:eastAsia="仿宋" w:hAnsi="仿宋"/>
          <w:sz w:val="30"/>
          <w:szCs w:val="30"/>
        </w:rPr>
        <w:t>十、已获得登记号的原料药、药用辅料和药包材企业，应当严格按照国家有关要求进行管理，保证产品质量，并在获得登记号后按年度提交产品质量管理报告;在产品发生变更时应当及时在登记平台中变更相关信息，并在实施变更前主动告知使用其产品的药品制剂申请人。药品制剂申请人应当对选用原料药、药用辅料和药包材的质量负责，充分研究和评估原料药、药用辅料和药包材变更对其产品质量的影响，按照国家食品药品监督管理总局有关规定和相关指导原则进行研究，按要求提出变更申请或者进行备案。</w:t>
      </w:r>
      <w:r w:rsidR="000E3032" w:rsidRPr="00124714">
        <w:rPr>
          <w:rFonts w:ascii="仿宋" w:eastAsia="仿宋" w:hAnsi="仿宋" w:hint="eastAsia"/>
          <w:sz w:val="30"/>
          <w:szCs w:val="30"/>
        </w:rPr>
        <w:t>”的建议</w:t>
      </w:r>
      <w:r w:rsidR="000E3032" w:rsidRPr="00124714">
        <w:rPr>
          <w:rFonts w:ascii="仿宋" w:eastAsia="仿宋" w:hAnsi="仿宋"/>
          <w:sz w:val="30"/>
          <w:szCs w:val="30"/>
        </w:rPr>
        <w:t>。</w:t>
      </w:r>
    </w:p>
    <w:p w:rsidR="000E3032" w:rsidRDefault="000E3032" w:rsidP="00124714">
      <w:pPr>
        <w:spacing w:afterLines="50" w:after="156" w:line="24" w:lineRule="atLeast"/>
        <w:ind w:firstLineChars="200" w:firstLine="600"/>
        <w:rPr>
          <w:rFonts w:ascii="仿宋" w:eastAsia="仿宋" w:hAnsi="仿宋"/>
          <w:color w:val="1F4E79" w:themeColor="accent1" w:themeShade="80"/>
          <w:sz w:val="30"/>
          <w:szCs w:val="30"/>
        </w:rPr>
      </w:pPr>
      <w:r w:rsidRPr="00124714">
        <w:rPr>
          <w:rFonts w:ascii="仿宋" w:eastAsia="仿宋" w:hAnsi="仿宋" w:hint="eastAsia"/>
          <w:color w:val="1F4E79" w:themeColor="accent1" w:themeShade="80"/>
          <w:sz w:val="30"/>
          <w:szCs w:val="30"/>
        </w:rPr>
        <w:t>按年度提交产品质量管理报告，建议该报告应有统一内容要求（标准格式），</w:t>
      </w:r>
      <w:r w:rsidRPr="00124714">
        <w:rPr>
          <w:rFonts w:ascii="仿宋" w:eastAsia="仿宋" w:hAnsi="仿宋"/>
          <w:color w:val="1F4E79" w:themeColor="accent1" w:themeShade="80"/>
          <w:sz w:val="30"/>
          <w:szCs w:val="30"/>
        </w:rPr>
        <w:t>出台年度质量报告的指南</w:t>
      </w:r>
      <w:r w:rsidRPr="00124714">
        <w:rPr>
          <w:rFonts w:ascii="仿宋" w:eastAsia="仿宋" w:hAnsi="仿宋" w:hint="eastAsia"/>
          <w:color w:val="1F4E79" w:themeColor="accent1" w:themeShade="80"/>
          <w:sz w:val="30"/>
          <w:szCs w:val="30"/>
        </w:rPr>
        <w:t>。</w:t>
      </w:r>
    </w:p>
    <w:p w:rsidR="008F49D1" w:rsidRDefault="008F49D1" w:rsidP="008F49D1">
      <w:pPr>
        <w:spacing w:afterLines="50" w:after="156" w:line="24" w:lineRule="atLeast"/>
        <w:ind w:firstLineChars="200" w:firstLine="600"/>
        <w:rPr>
          <w:color w:val="000000"/>
          <w:sz w:val="29"/>
          <w:szCs w:val="29"/>
          <w:shd w:val="clear" w:color="auto" w:fill="FFFFFF"/>
        </w:rPr>
      </w:pPr>
      <w:r>
        <w:rPr>
          <w:rFonts w:ascii="仿宋" w:eastAsia="仿宋" w:hAnsi="仿宋" w:hint="eastAsia"/>
          <w:sz w:val="30"/>
          <w:szCs w:val="30"/>
        </w:rPr>
        <w:t>三、</w:t>
      </w:r>
      <w:r w:rsidRPr="00124714">
        <w:rPr>
          <w:rFonts w:ascii="仿宋" w:eastAsia="仿宋" w:hAnsi="仿宋" w:hint="eastAsia"/>
          <w:sz w:val="30"/>
          <w:szCs w:val="30"/>
        </w:rPr>
        <w:t>针对</w:t>
      </w:r>
      <w:r>
        <w:rPr>
          <w:rFonts w:ascii="仿宋" w:eastAsia="仿宋" w:hAnsi="仿宋" w:hint="eastAsia"/>
          <w:sz w:val="30"/>
          <w:szCs w:val="30"/>
        </w:rPr>
        <w:t>“</w:t>
      </w:r>
      <w:r w:rsidRPr="00124714">
        <w:rPr>
          <w:rFonts w:ascii="仿宋" w:eastAsia="仿宋" w:hAnsi="仿宋" w:hint="eastAsia"/>
          <w:b/>
          <w:sz w:val="30"/>
          <w:szCs w:val="30"/>
        </w:rPr>
        <w:t>总局关于调整原料药、药用辅料和药包材审评审批事项的公告（2017年第146号）</w:t>
      </w:r>
      <w:r>
        <w:rPr>
          <w:rFonts w:ascii="仿宋" w:eastAsia="仿宋" w:hAnsi="仿宋" w:hint="eastAsia"/>
          <w:sz w:val="30"/>
          <w:szCs w:val="30"/>
        </w:rPr>
        <w:t>”</w:t>
      </w:r>
      <w:r w:rsidRPr="00124714">
        <w:rPr>
          <w:rFonts w:ascii="仿宋" w:eastAsia="仿宋" w:hAnsi="仿宋" w:hint="eastAsia"/>
          <w:sz w:val="30"/>
          <w:szCs w:val="30"/>
        </w:rPr>
        <w:t>中</w:t>
      </w:r>
      <w:r>
        <w:rPr>
          <w:rFonts w:ascii="仿宋" w:eastAsia="仿宋" w:hAnsi="仿宋" w:hint="eastAsia"/>
          <w:sz w:val="30"/>
          <w:szCs w:val="30"/>
        </w:rPr>
        <w:t>“</w:t>
      </w:r>
      <w:r>
        <w:rPr>
          <w:rFonts w:hint="eastAsia"/>
          <w:color w:val="000000"/>
          <w:sz w:val="29"/>
          <w:szCs w:val="29"/>
          <w:shd w:val="clear" w:color="auto" w:fill="FFFFFF"/>
        </w:rPr>
        <w:t>六、在登记平台建立的过渡期，药审中心在门户网站（网址：</w:t>
      </w:r>
      <w:r>
        <w:rPr>
          <w:rFonts w:ascii="Times New Roman" w:hAnsi="Times New Roman" w:cs="Times New Roman"/>
          <w:color w:val="000000"/>
          <w:sz w:val="29"/>
          <w:szCs w:val="29"/>
          <w:shd w:val="clear" w:color="auto" w:fill="FFFFFF"/>
        </w:rPr>
        <w:t>www.cde.org.cn</w:t>
      </w:r>
      <w:r>
        <w:rPr>
          <w:rFonts w:hint="eastAsia"/>
          <w:color w:val="000000"/>
          <w:sz w:val="29"/>
          <w:szCs w:val="29"/>
          <w:shd w:val="clear" w:color="auto" w:fill="FFFFFF"/>
        </w:rPr>
        <w:t>）以表格方式对社会公示</w:t>
      </w:r>
      <w:r>
        <w:rPr>
          <w:rFonts w:ascii="Times New Roman" w:hAnsi="Times New Roman" w:cs="Times New Roman"/>
          <w:color w:val="000000"/>
          <w:sz w:val="29"/>
          <w:szCs w:val="29"/>
          <w:shd w:val="clear" w:color="auto" w:fill="FFFFFF"/>
        </w:rPr>
        <w:t>“</w:t>
      </w:r>
      <w:r>
        <w:rPr>
          <w:rFonts w:hint="eastAsia"/>
          <w:color w:val="000000"/>
          <w:sz w:val="29"/>
          <w:szCs w:val="29"/>
          <w:shd w:val="clear" w:color="auto" w:fill="FFFFFF"/>
        </w:rPr>
        <w:t>原料药登记数据</w:t>
      </w:r>
      <w:r>
        <w:rPr>
          <w:rFonts w:ascii="Times New Roman" w:hAnsi="Times New Roman" w:cs="Times New Roman"/>
          <w:color w:val="000000"/>
          <w:sz w:val="29"/>
          <w:szCs w:val="29"/>
          <w:shd w:val="clear" w:color="auto" w:fill="FFFFFF"/>
        </w:rPr>
        <w:t>”“</w:t>
      </w:r>
      <w:r>
        <w:rPr>
          <w:rFonts w:hint="eastAsia"/>
          <w:color w:val="000000"/>
          <w:sz w:val="29"/>
          <w:szCs w:val="29"/>
          <w:shd w:val="clear" w:color="auto" w:fill="FFFFFF"/>
        </w:rPr>
        <w:t>药用辅料登记数据</w:t>
      </w:r>
      <w:r>
        <w:rPr>
          <w:rFonts w:ascii="Times New Roman" w:hAnsi="Times New Roman" w:cs="Times New Roman"/>
          <w:color w:val="000000"/>
          <w:sz w:val="29"/>
          <w:szCs w:val="29"/>
          <w:shd w:val="clear" w:color="auto" w:fill="FFFFFF"/>
        </w:rPr>
        <w:t>”“</w:t>
      </w:r>
      <w:r>
        <w:rPr>
          <w:rFonts w:hint="eastAsia"/>
          <w:color w:val="000000"/>
          <w:sz w:val="29"/>
          <w:szCs w:val="29"/>
          <w:shd w:val="clear" w:color="auto" w:fill="FFFFFF"/>
        </w:rPr>
        <w:t>药包材登记数据</w:t>
      </w:r>
      <w:r>
        <w:rPr>
          <w:rFonts w:ascii="Times New Roman" w:hAnsi="Times New Roman" w:cs="Times New Roman"/>
          <w:color w:val="000000"/>
          <w:sz w:val="29"/>
          <w:szCs w:val="29"/>
          <w:shd w:val="clear" w:color="auto" w:fill="FFFFFF"/>
        </w:rPr>
        <w:t>”</w:t>
      </w:r>
      <w:r>
        <w:rPr>
          <w:rFonts w:hint="eastAsia"/>
          <w:color w:val="000000"/>
          <w:sz w:val="29"/>
          <w:szCs w:val="29"/>
          <w:shd w:val="clear" w:color="auto" w:fill="FFFFFF"/>
        </w:rPr>
        <w:t>，公示的信息主要包括：登记号、品种名称、企业名称、企业注册地址、国产</w:t>
      </w:r>
      <w:r>
        <w:rPr>
          <w:rFonts w:ascii="Times New Roman" w:hAnsi="Times New Roman" w:cs="Times New Roman"/>
          <w:color w:val="000000"/>
          <w:sz w:val="29"/>
          <w:szCs w:val="29"/>
          <w:shd w:val="clear" w:color="auto" w:fill="FFFFFF"/>
        </w:rPr>
        <w:t>/</w:t>
      </w:r>
      <w:r>
        <w:rPr>
          <w:rFonts w:hint="eastAsia"/>
          <w:color w:val="000000"/>
          <w:sz w:val="29"/>
          <w:szCs w:val="29"/>
          <w:shd w:val="clear" w:color="auto" w:fill="FFFFFF"/>
        </w:rPr>
        <w:t>进口、</w:t>
      </w:r>
      <w:r w:rsidRPr="004904EF">
        <w:rPr>
          <w:rFonts w:hint="eastAsia"/>
          <w:b/>
          <w:bCs/>
          <w:sz w:val="29"/>
          <w:szCs w:val="29"/>
          <w:shd w:val="clear" w:color="auto" w:fill="FFFFFF"/>
        </w:rPr>
        <w:t>包装规格</w:t>
      </w:r>
      <w:r>
        <w:rPr>
          <w:rFonts w:hint="eastAsia"/>
          <w:color w:val="000000"/>
          <w:sz w:val="29"/>
          <w:szCs w:val="29"/>
          <w:shd w:val="clear" w:color="auto" w:fill="FFFFFF"/>
        </w:rPr>
        <w:t>、登记日期、更新日期、关联药品制剂审批情况等。</w:t>
      </w:r>
      <w:r w:rsidRPr="00555BD0">
        <w:rPr>
          <w:rFonts w:ascii="仿宋" w:eastAsia="仿宋" w:hAnsi="仿宋" w:hint="eastAsia"/>
          <w:sz w:val="30"/>
          <w:szCs w:val="30"/>
        </w:rPr>
        <w:t>”</w:t>
      </w:r>
      <w:r>
        <w:rPr>
          <w:rFonts w:hint="eastAsia"/>
          <w:color w:val="000000"/>
          <w:sz w:val="29"/>
          <w:szCs w:val="29"/>
          <w:shd w:val="clear" w:color="auto" w:fill="FFFFFF"/>
        </w:rPr>
        <w:t>的</w:t>
      </w:r>
      <w:r>
        <w:rPr>
          <w:color w:val="000000"/>
          <w:sz w:val="29"/>
          <w:szCs w:val="29"/>
          <w:shd w:val="clear" w:color="auto" w:fill="FFFFFF"/>
        </w:rPr>
        <w:t>建议</w:t>
      </w:r>
      <w:r>
        <w:rPr>
          <w:rFonts w:hint="eastAsia"/>
          <w:color w:val="000000"/>
          <w:sz w:val="29"/>
          <w:szCs w:val="29"/>
          <w:shd w:val="clear" w:color="auto" w:fill="FFFFFF"/>
        </w:rPr>
        <w:t>。</w:t>
      </w:r>
    </w:p>
    <w:p w:rsidR="008F49D1" w:rsidRPr="008F49D1" w:rsidRDefault="008F49D1" w:rsidP="008F49D1">
      <w:pPr>
        <w:spacing w:afterLines="50" w:after="156" w:line="24" w:lineRule="atLeast"/>
        <w:ind w:firstLineChars="200" w:firstLine="600"/>
        <w:rPr>
          <w:rFonts w:ascii="仿宋" w:eastAsia="仿宋" w:hAnsi="仿宋"/>
          <w:color w:val="1F4E79" w:themeColor="accent1" w:themeShade="80"/>
          <w:sz w:val="30"/>
          <w:szCs w:val="30"/>
        </w:rPr>
      </w:pPr>
      <w:r w:rsidRPr="00555BD0">
        <w:rPr>
          <w:rFonts w:ascii="仿宋" w:eastAsia="仿宋" w:hAnsi="仿宋" w:hint="eastAsia"/>
          <w:color w:val="1F4E79" w:themeColor="accent1" w:themeShade="80"/>
          <w:sz w:val="30"/>
          <w:szCs w:val="30"/>
        </w:rPr>
        <w:t>作为辅料而言，其包装规格往往因制剂用户的用途和工艺不一样，包装大小要求不一样，而作为辅料其包装规格并不像制剂的规格对疗效或是药理有影响或是有差异，辅料而言规格更多是体现在像粘度或是粒径的差异上。建议</w:t>
      </w:r>
      <w:r w:rsidR="00134D0E">
        <w:rPr>
          <w:rFonts w:ascii="仿宋" w:eastAsia="仿宋" w:hAnsi="仿宋" w:hint="eastAsia"/>
          <w:color w:val="1F4E79" w:themeColor="accent1" w:themeShade="80"/>
          <w:sz w:val="30"/>
          <w:szCs w:val="30"/>
        </w:rPr>
        <w:t>在公示</w:t>
      </w:r>
      <w:r w:rsidR="00134D0E">
        <w:rPr>
          <w:rFonts w:ascii="仿宋" w:eastAsia="仿宋" w:hAnsi="仿宋"/>
          <w:color w:val="1F4E79" w:themeColor="accent1" w:themeShade="80"/>
          <w:sz w:val="30"/>
          <w:szCs w:val="30"/>
        </w:rPr>
        <w:t>的信息中增加</w:t>
      </w:r>
      <w:r w:rsidR="00134D0E">
        <w:rPr>
          <w:rFonts w:ascii="仿宋" w:eastAsia="仿宋" w:hAnsi="仿宋" w:hint="eastAsia"/>
          <w:color w:val="1F4E79" w:themeColor="accent1" w:themeShade="80"/>
          <w:sz w:val="30"/>
          <w:szCs w:val="30"/>
        </w:rPr>
        <w:t>产品</w:t>
      </w:r>
      <w:r w:rsidRPr="00555BD0">
        <w:rPr>
          <w:rFonts w:ascii="仿宋" w:eastAsia="仿宋" w:hAnsi="仿宋" w:hint="eastAsia"/>
          <w:color w:val="1F4E79" w:themeColor="accent1" w:themeShade="80"/>
          <w:sz w:val="30"/>
          <w:szCs w:val="30"/>
        </w:rPr>
        <w:t>规格，这样对制剂用户而言其信息更有价值。</w:t>
      </w:r>
    </w:p>
    <w:p w:rsidR="008D37B1" w:rsidRPr="0056538F" w:rsidRDefault="008F49D1" w:rsidP="0056538F">
      <w:pPr>
        <w:spacing w:afterLines="50" w:after="156" w:line="24" w:lineRule="atLeast"/>
        <w:ind w:firstLineChars="200" w:firstLine="600"/>
        <w:rPr>
          <w:rFonts w:ascii="仿宋" w:eastAsia="仿宋" w:hAnsi="仿宋"/>
          <w:sz w:val="30"/>
          <w:szCs w:val="30"/>
        </w:rPr>
      </w:pPr>
      <w:r>
        <w:rPr>
          <w:rFonts w:ascii="仿宋" w:eastAsia="仿宋" w:hAnsi="仿宋" w:hint="eastAsia"/>
          <w:sz w:val="30"/>
          <w:szCs w:val="30"/>
        </w:rPr>
        <w:t>四</w:t>
      </w:r>
      <w:r w:rsidR="0056538F">
        <w:rPr>
          <w:rFonts w:ascii="仿宋" w:eastAsia="仿宋" w:hAnsi="仿宋" w:hint="eastAsia"/>
          <w:sz w:val="30"/>
          <w:szCs w:val="30"/>
        </w:rPr>
        <w:t>、</w:t>
      </w:r>
      <w:r w:rsidR="008D37B1" w:rsidRPr="0056538F">
        <w:rPr>
          <w:rFonts w:ascii="仿宋" w:eastAsia="仿宋" w:hAnsi="仿宋" w:hint="eastAsia"/>
          <w:sz w:val="30"/>
          <w:szCs w:val="30"/>
        </w:rPr>
        <w:t>针对</w:t>
      </w:r>
      <w:r w:rsidR="00EA3938">
        <w:rPr>
          <w:rFonts w:ascii="仿宋" w:eastAsia="仿宋" w:hAnsi="仿宋" w:hint="eastAsia"/>
          <w:sz w:val="30"/>
          <w:szCs w:val="30"/>
        </w:rPr>
        <w:t>“</w:t>
      </w:r>
      <w:r w:rsidR="00EA3938" w:rsidRPr="0056538F">
        <w:rPr>
          <w:rFonts w:ascii="仿宋" w:eastAsia="仿宋" w:hAnsi="仿宋" w:hint="eastAsia"/>
          <w:b/>
          <w:sz w:val="30"/>
          <w:szCs w:val="30"/>
        </w:rPr>
        <w:t>总局关于调整原料药、药用辅料和药包材审评审批事项的公告（2017年第146号）</w:t>
      </w:r>
      <w:r w:rsidR="00EA3938">
        <w:rPr>
          <w:rFonts w:ascii="仿宋" w:eastAsia="仿宋" w:hAnsi="仿宋" w:hint="eastAsia"/>
          <w:sz w:val="30"/>
          <w:szCs w:val="30"/>
        </w:rPr>
        <w:t>”</w:t>
      </w:r>
      <w:r w:rsidR="00000A35" w:rsidRPr="0056538F">
        <w:rPr>
          <w:rFonts w:ascii="仿宋" w:eastAsia="仿宋" w:hAnsi="仿宋" w:hint="eastAsia"/>
          <w:sz w:val="30"/>
          <w:szCs w:val="30"/>
        </w:rPr>
        <w:t>中</w:t>
      </w:r>
      <w:r w:rsidR="00112F56" w:rsidRPr="0056538F">
        <w:rPr>
          <w:rFonts w:ascii="仿宋" w:eastAsia="仿宋" w:hAnsi="仿宋" w:hint="eastAsia"/>
          <w:sz w:val="30"/>
          <w:szCs w:val="30"/>
        </w:rPr>
        <w:t>“</w:t>
      </w:r>
      <w:r w:rsidR="00EA3938">
        <w:rPr>
          <w:rFonts w:ascii="仿宋" w:eastAsia="仿宋" w:hAnsi="仿宋" w:hint="eastAsia"/>
          <w:sz w:val="30"/>
          <w:szCs w:val="30"/>
        </w:rPr>
        <w:t>十一</w:t>
      </w:r>
      <w:r w:rsidR="005B413B" w:rsidRPr="0056538F">
        <w:rPr>
          <w:rFonts w:ascii="仿宋" w:eastAsia="仿宋" w:hAnsi="仿宋" w:hint="eastAsia"/>
          <w:sz w:val="30"/>
          <w:szCs w:val="30"/>
        </w:rPr>
        <w:t>：本公告发布前已获得批准文号的原料药、药用辅料和药包材相关登记要求将在登记平台建立后另行通知</w:t>
      </w:r>
      <w:r w:rsidR="008D37B1" w:rsidRPr="0056538F">
        <w:rPr>
          <w:rFonts w:ascii="仿宋" w:eastAsia="仿宋" w:hAnsi="仿宋"/>
          <w:sz w:val="30"/>
          <w:szCs w:val="30"/>
        </w:rPr>
        <w:t>。</w:t>
      </w:r>
      <w:r w:rsidR="00112F56" w:rsidRPr="0056538F">
        <w:rPr>
          <w:rFonts w:ascii="仿宋" w:eastAsia="仿宋" w:hAnsi="仿宋" w:hint="eastAsia"/>
          <w:sz w:val="30"/>
          <w:szCs w:val="30"/>
        </w:rPr>
        <w:t>”</w:t>
      </w:r>
      <w:r w:rsidR="008D37B1" w:rsidRPr="0056538F">
        <w:rPr>
          <w:rFonts w:ascii="仿宋" w:eastAsia="仿宋" w:hAnsi="仿宋" w:hint="eastAsia"/>
          <w:sz w:val="30"/>
          <w:szCs w:val="30"/>
        </w:rPr>
        <w:t>的</w:t>
      </w:r>
      <w:r w:rsidR="005B413B" w:rsidRPr="0056538F">
        <w:rPr>
          <w:rFonts w:ascii="仿宋" w:eastAsia="仿宋" w:hAnsi="仿宋" w:hint="eastAsia"/>
          <w:sz w:val="30"/>
          <w:szCs w:val="30"/>
        </w:rPr>
        <w:t>建议</w:t>
      </w:r>
    </w:p>
    <w:p w:rsidR="008D37B1" w:rsidRPr="0056538F" w:rsidRDefault="0056538F" w:rsidP="0056538F">
      <w:pPr>
        <w:spacing w:afterLines="50" w:after="156" w:line="24" w:lineRule="atLeast"/>
        <w:ind w:firstLineChars="200" w:firstLine="600"/>
        <w:rPr>
          <w:rFonts w:ascii="仿宋" w:eastAsia="仿宋" w:hAnsi="仿宋"/>
          <w:color w:val="1F4E79" w:themeColor="accent1" w:themeShade="80"/>
          <w:sz w:val="30"/>
          <w:szCs w:val="30"/>
        </w:rPr>
      </w:pPr>
      <w:r>
        <w:rPr>
          <w:rFonts w:ascii="仿宋" w:eastAsia="仿宋" w:hAnsi="仿宋" w:hint="eastAsia"/>
          <w:color w:val="1F4E79" w:themeColor="accent1" w:themeShade="80"/>
          <w:sz w:val="30"/>
          <w:szCs w:val="30"/>
        </w:rPr>
        <w:t>1.</w:t>
      </w:r>
      <w:r w:rsidR="005B413B" w:rsidRPr="0056538F">
        <w:rPr>
          <w:rFonts w:ascii="仿宋" w:eastAsia="仿宋" w:hAnsi="仿宋" w:hint="eastAsia"/>
          <w:color w:val="1F4E79" w:themeColor="accent1" w:themeShade="80"/>
          <w:sz w:val="30"/>
          <w:szCs w:val="30"/>
        </w:rPr>
        <w:t>目前</w:t>
      </w:r>
      <w:r w:rsidR="00B74A21" w:rsidRPr="0056538F">
        <w:rPr>
          <w:rFonts w:ascii="仿宋" w:eastAsia="仿宋" w:hAnsi="仿宋" w:hint="eastAsia"/>
          <w:color w:val="1F4E79" w:themeColor="accent1" w:themeShade="80"/>
          <w:sz w:val="30"/>
          <w:szCs w:val="30"/>
        </w:rPr>
        <w:t>药审中心</w:t>
      </w:r>
      <w:r w:rsidR="005B413B" w:rsidRPr="0056538F">
        <w:rPr>
          <w:rFonts w:ascii="仿宋" w:eastAsia="仿宋" w:hAnsi="仿宋" w:hint="eastAsia"/>
          <w:color w:val="1F4E79" w:themeColor="accent1" w:themeShade="80"/>
          <w:sz w:val="30"/>
          <w:szCs w:val="30"/>
        </w:rPr>
        <w:t>平台已经对已受理未完成的原料药、药用辅料和药包材（包括IDL）给予登记号。建议对于批准文号仍在有效期内的原料药、药用辅料和药包材，尽快授予登记号。对于批准文号已经过期的原料药、药用辅料和药包材，建立简易程序，授予登记号。</w:t>
      </w:r>
    </w:p>
    <w:p w:rsidR="00F431F8" w:rsidRPr="0056538F" w:rsidRDefault="0056538F" w:rsidP="0056538F">
      <w:pPr>
        <w:spacing w:afterLines="50" w:after="156" w:line="24" w:lineRule="atLeast"/>
        <w:ind w:firstLineChars="200" w:firstLine="600"/>
        <w:rPr>
          <w:rFonts w:ascii="仿宋" w:eastAsia="仿宋" w:hAnsi="仿宋"/>
          <w:color w:val="1F4E79" w:themeColor="accent1" w:themeShade="80"/>
          <w:sz w:val="30"/>
          <w:szCs w:val="30"/>
        </w:rPr>
      </w:pPr>
      <w:r>
        <w:rPr>
          <w:rFonts w:ascii="仿宋" w:eastAsia="仿宋" w:hAnsi="仿宋" w:hint="eastAsia"/>
          <w:color w:val="1F4E79" w:themeColor="accent1" w:themeShade="80"/>
          <w:sz w:val="30"/>
          <w:szCs w:val="30"/>
        </w:rPr>
        <w:t>2.</w:t>
      </w:r>
      <w:r w:rsidR="00F431F8" w:rsidRPr="0056538F">
        <w:rPr>
          <w:rFonts w:ascii="仿宋" w:eastAsia="仿宋" w:hAnsi="仿宋" w:hint="eastAsia"/>
          <w:color w:val="1F4E79" w:themeColor="accent1" w:themeShade="80"/>
          <w:sz w:val="30"/>
          <w:szCs w:val="30"/>
        </w:rPr>
        <w:t>加快相关配套程序的完善，尽快出台146号文和管理办法中的“另行规定”和“另行通知”（据了解，目前药审中心很多工作人员近期都加班到很晚很辛苦）。如已有批准文号的原料药、药用辅料和药包材相关登记要求希望尽快出台。</w:t>
      </w:r>
    </w:p>
    <w:p w:rsidR="000F3A9D" w:rsidRPr="000211E7" w:rsidRDefault="008F49D1" w:rsidP="000211E7">
      <w:pPr>
        <w:spacing w:afterLines="50" w:after="156" w:line="24" w:lineRule="atLeast"/>
        <w:ind w:firstLineChars="200" w:firstLine="600"/>
        <w:rPr>
          <w:rFonts w:ascii="仿宋" w:eastAsia="仿宋" w:hAnsi="仿宋"/>
          <w:b/>
          <w:sz w:val="30"/>
          <w:szCs w:val="30"/>
        </w:rPr>
      </w:pPr>
      <w:r>
        <w:rPr>
          <w:rFonts w:ascii="仿宋" w:eastAsia="仿宋" w:hAnsi="仿宋" w:hint="eastAsia"/>
          <w:sz w:val="30"/>
          <w:szCs w:val="30"/>
        </w:rPr>
        <w:t>五</w:t>
      </w:r>
      <w:r w:rsidR="000211E7">
        <w:rPr>
          <w:rFonts w:ascii="仿宋" w:eastAsia="仿宋" w:hAnsi="仿宋" w:hint="eastAsia"/>
          <w:sz w:val="30"/>
          <w:szCs w:val="30"/>
        </w:rPr>
        <w:t>、</w:t>
      </w:r>
      <w:r w:rsidR="008D37B1" w:rsidRPr="000211E7">
        <w:rPr>
          <w:rFonts w:ascii="仿宋" w:eastAsia="仿宋" w:hAnsi="仿宋" w:hint="eastAsia"/>
          <w:sz w:val="30"/>
          <w:szCs w:val="30"/>
        </w:rPr>
        <w:t>针对</w:t>
      </w:r>
      <w:r w:rsidR="00EA3938">
        <w:rPr>
          <w:rFonts w:ascii="仿宋" w:eastAsia="仿宋" w:hAnsi="仿宋" w:hint="eastAsia"/>
          <w:sz w:val="30"/>
          <w:szCs w:val="30"/>
        </w:rPr>
        <w:t>“</w:t>
      </w:r>
      <w:r w:rsidR="00EA3938" w:rsidRPr="00EA3938">
        <w:rPr>
          <w:rFonts w:ascii="仿宋" w:eastAsia="仿宋" w:hAnsi="仿宋" w:hint="eastAsia"/>
          <w:b/>
          <w:sz w:val="30"/>
          <w:szCs w:val="30"/>
        </w:rPr>
        <w:t>总局</w:t>
      </w:r>
      <w:r w:rsidR="00EA3938" w:rsidRPr="00EA3938">
        <w:rPr>
          <w:rFonts w:ascii="仿宋" w:eastAsia="仿宋" w:hAnsi="仿宋"/>
          <w:b/>
          <w:sz w:val="30"/>
          <w:szCs w:val="30"/>
        </w:rPr>
        <w:t>办公厅公开征求</w:t>
      </w:r>
      <w:r w:rsidR="00EA3938" w:rsidRPr="00EA3938">
        <w:rPr>
          <w:rFonts w:ascii="仿宋" w:eastAsia="仿宋" w:hAnsi="仿宋" w:hint="eastAsia"/>
          <w:b/>
          <w:sz w:val="30"/>
          <w:szCs w:val="30"/>
        </w:rPr>
        <w:t>《</w:t>
      </w:r>
      <w:r w:rsidR="00EA3938" w:rsidRPr="000211E7">
        <w:rPr>
          <w:rFonts w:ascii="仿宋" w:eastAsia="仿宋" w:hAnsi="仿宋"/>
          <w:b/>
          <w:sz w:val="30"/>
          <w:szCs w:val="30"/>
        </w:rPr>
        <w:t>原料药、药用辅料及药包材</w:t>
      </w:r>
      <w:r w:rsidR="00EA3938" w:rsidRPr="000211E7">
        <w:rPr>
          <w:rFonts w:ascii="仿宋" w:eastAsia="仿宋" w:hAnsi="仿宋" w:hint="eastAsia"/>
          <w:b/>
          <w:sz w:val="30"/>
          <w:szCs w:val="30"/>
        </w:rPr>
        <w:t>与药品制剂共同审评审批管理办法</w:t>
      </w:r>
      <w:r w:rsidR="00EA3938">
        <w:rPr>
          <w:rFonts w:ascii="仿宋" w:eastAsia="仿宋" w:hAnsi="仿宋" w:hint="eastAsia"/>
          <w:b/>
          <w:sz w:val="30"/>
          <w:szCs w:val="30"/>
        </w:rPr>
        <w:t>（</w:t>
      </w:r>
      <w:r w:rsidR="00EA3938" w:rsidRPr="000211E7">
        <w:rPr>
          <w:rFonts w:ascii="仿宋" w:eastAsia="仿宋" w:hAnsi="仿宋" w:hint="eastAsia"/>
          <w:b/>
          <w:sz w:val="30"/>
          <w:szCs w:val="30"/>
        </w:rPr>
        <w:t>征求</w:t>
      </w:r>
      <w:r w:rsidR="00EA3938" w:rsidRPr="000211E7">
        <w:rPr>
          <w:rFonts w:ascii="仿宋" w:eastAsia="仿宋" w:hAnsi="仿宋"/>
          <w:b/>
          <w:sz w:val="30"/>
          <w:szCs w:val="30"/>
        </w:rPr>
        <w:t>意见稿</w:t>
      </w:r>
      <w:r w:rsidR="00EA3938">
        <w:rPr>
          <w:rFonts w:ascii="仿宋" w:eastAsia="仿宋" w:hAnsi="仿宋" w:hint="eastAsia"/>
          <w:b/>
          <w:sz w:val="30"/>
          <w:szCs w:val="30"/>
        </w:rPr>
        <w:t>）</w:t>
      </w:r>
      <w:r w:rsidR="00EA3938" w:rsidRPr="00EA3938">
        <w:rPr>
          <w:rFonts w:ascii="仿宋" w:eastAsia="仿宋" w:hAnsi="仿宋" w:hint="eastAsia"/>
          <w:b/>
          <w:sz w:val="30"/>
          <w:szCs w:val="30"/>
        </w:rPr>
        <w:t>》意见</w:t>
      </w:r>
      <w:r w:rsidR="00EA3938">
        <w:rPr>
          <w:rFonts w:ascii="仿宋" w:eastAsia="仿宋" w:hAnsi="仿宋" w:hint="eastAsia"/>
          <w:sz w:val="30"/>
          <w:szCs w:val="30"/>
        </w:rPr>
        <w:t>”</w:t>
      </w:r>
      <w:r w:rsidR="00CD2918" w:rsidRPr="000211E7">
        <w:rPr>
          <w:rFonts w:ascii="仿宋" w:eastAsia="仿宋" w:hAnsi="仿宋"/>
          <w:sz w:val="30"/>
          <w:szCs w:val="30"/>
        </w:rPr>
        <w:t>中</w:t>
      </w:r>
      <w:r w:rsidR="00C60B6D" w:rsidRPr="000211E7">
        <w:rPr>
          <w:rFonts w:ascii="仿宋" w:eastAsia="仿宋" w:hAnsi="仿宋" w:hint="eastAsia"/>
          <w:sz w:val="30"/>
          <w:szCs w:val="30"/>
        </w:rPr>
        <w:t>“</w:t>
      </w:r>
      <w:r w:rsidR="00C60B6D" w:rsidRPr="000211E7">
        <w:rPr>
          <w:rFonts w:ascii="仿宋" w:eastAsia="仿宋" w:hAnsi="仿宋"/>
          <w:sz w:val="30"/>
          <w:szCs w:val="30"/>
        </w:rPr>
        <w:t>第十七条同一药用辅料药包材生产企业供不同给药途径制剂使用且质量存在差别的同一药用辅料药包材，应当按不同登记号登记；不同型号、类别的药用辅料药包材，应当按不同登记号登记。对于相同辅料，密度、晶型、粒径、粘度等质控要求不同的，以及包衣辅料等口服固体制剂使用的预混辅料，应当按相同登记号登记，在同一登记号下按品种规格分类并编号。</w:t>
      </w:r>
      <w:r w:rsidR="00C60B6D" w:rsidRPr="000211E7">
        <w:rPr>
          <w:rFonts w:ascii="仿宋" w:eastAsia="仿宋" w:hAnsi="仿宋" w:hint="eastAsia"/>
          <w:sz w:val="30"/>
          <w:szCs w:val="30"/>
        </w:rPr>
        <w:t>”</w:t>
      </w:r>
      <w:r w:rsidR="000F3A9D" w:rsidRPr="000211E7">
        <w:rPr>
          <w:rFonts w:ascii="仿宋" w:eastAsia="仿宋" w:hAnsi="仿宋" w:hint="eastAsia"/>
          <w:sz w:val="30"/>
          <w:szCs w:val="30"/>
        </w:rPr>
        <w:t>的</w:t>
      </w:r>
      <w:r w:rsidR="000F3A9D" w:rsidRPr="000211E7">
        <w:rPr>
          <w:rFonts w:ascii="仿宋" w:eastAsia="仿宋" w:hAnsi="仿宋"/>
          <w:sz w:val="30"/>
          <w:szCs w:val="30"/>
        </w:rPr>
        <w:t>建议。</w:t>
      </w:r>
    </w:p>
    <w:p w:rsidR="00485832" w:rsidRDefault="000211E7" w:rsidP="00485832">
      <w:pPr>
        <w:spacing w:afterLines="50" w:after="156" w:line="24" w:lineRule="atLeast"/>
        <w:ind w:firstLineChars="200" w:firstLine="600"/>
        <w:rPr>
          <w:rFonts w:ascii="仿宋" w:eastAsia="仿宋" w:hAnsi="仿宋"/>
          <w:color w:val="1F4E79" w:themeColor="accent1" w:themeShade="80"/>
          <w:sz w:val="30"/>
          <w:szCs w:val="30"/>
        </w:rPr>
      </w:pPr>
      <w:r>
        <w:rPr>
          <w:rFonts w:ascii="仿宋" w:eastAsia="仿宋" w:hAnsi="仿宋" w:hint="eastAsia"/>
          <w:color w:val="1F4E79" w:themeColor="accent1" w:themeShade="80"/>
          <w:sz w:val="30"/>
          <w:szCs w:val="30"/>
        </w:rPr>
        <w:t>1.</w:t>
      </w:r>
      <w:r w:rsidR="00AD3C60">
        <w:rPr>
          <w:rFonts w:ascii="仿宋" w:eastAsia="仿宋" w:hAnsi="仿宋"/>
          <w:color w:val="1F4E79" w:themeColor="accent1" w:themeShade="80"/>
          <w:sz w:val="30"/>
          <w:szCs w:val="30"/>
        </w:rPr>
        <w:t xml:space="preserve"> </w:t>
      </w:r>
      <w:r w:rsidR="00AD3C60">
        <w:rPr>
          <w:rFonts w:ascii="仿宋" w:eastAsia="仿宋" w:hAnsi="仿宋" w:hint="eastAsia"/>
          <w:color w:val="1F4E79" w:themeColor="accent1" w:themeShade="80"/>
          <w:sz w:val="30"/>
          <w:szCs w:val="30"/>
        </w:rPr>
        <w:t>同一</w:t>
      </w:r>
      <w:r w:rsidR="00AD3C60">
        <w:rPr>
          <w:rFonts w:ascii="仿宋" w:eastAsia="仿宋" w:hAnsi="仿宋"/>
          <w:color w:val="1F4E79" w:themeColor="accent1" w:themeShade="80"/>
          <w:sz w:val="30"/>
          <w:szCs w:val="30"/>
        </w:rPr>
        <w:t>登记号</w:t>
      </w:r>
      <w:r w:rsidR="00AD3C60">
        <w:rPr>
          <w:rFonts w:ascii="仿宋" w:eastAsia="仿宋" w:hAnsi="仿宋" w:hint="eastAsia"/>
          <w:color w:val="1F4E79" w:themeColor="accent1" w:themeShade="80"/>
          <w:sz w:val="30"/>
          <w:szCs w:val="30"/>
        </w:rPr>
        <w:t>下</w:t>
      </w:r>
      <w:r w:rsidR="00AD3C60">
        <w:rPr>
          <w:rFonts w:ascii="仿宋" w:eastAsia="仿宋" w:hAnsi="仿宋"/>
          <w:color w:val="1F4E79" w:themeColor="accent1" w:themeShade="80"/>
          <w:sz w:val="30"/>
          <w:szCs w:val="30"/>
        </w:rPr>
        <w:t>如何编号？编号</w:t>
      </w:r>
      <w:r w:rsidR="00AD3C60">
        <w:rPr>
          <w:rFonts w:ascii="仿宋" w:eastAsia="仿宋" w:hAnsi="仿宋" w:hint="eastAsia"/>
          <w:color w:val="1F4E79" w:themeColor="accent1" w:themeShade="80"/>
          <w:sz w:val="30"/>
          <w:szCs w:val="30"/>
        </w:rPr>
        <w:t>规则</w:t>
      </w:r>
      <w:r w:rsidR="00AD3C60">
        <w:rPr>
          <w:rFonts w:ascii="仿宋" w:eastAsia="仿宋" w:hAnsi="仿宋"/>
          <w:color w:val="1F4E79" w:themeColor="accent1" w:themeShade="80"/>
          <w:sz w:val="30"/>
          <w:szCs w:val="30"/>
        </w:rPr>
        <w:t>？</w:t>
      </w:r>
      <w:r w:rsidR="00AD3C60">
        <w:rPr>
          <w:rFonts w:ascii="仿宋" w:eastAsia="仿宋" w:hAnsi="仿宋" w:hint="eastAsia"/>
          <w:color w:val="1F4E79" w:themeColor="accent1" w:themeShade="80"/>
          <w:sz w:val="30"/>
          <w:szCs w:val="30"/>
        </w:rPr>
        <w:t>在</w:t>
      </w:r>
      <w:r w:rsidR="00AD3C60">
        <w:rPr>
          <w:rFonts w:ascii="仿宋" w:eastAsia="仿宋" w:hAnsi="仿宋"/>
          <w:color w:val="1F4E79" w:themeColor="accent1" w:themeShade="80"/>
          <w:sz w:val="30"/>
          <w:szCs w:val="30"/>
        </w:rPr>
        <w:t>药审中心</w:t>
      </w:r>
      <w:r w:rsidR="00AD3C60" w:rsidRPr="00AD3C60">
        <w:rPr>
          <w:rFonts w:ascii="仿宋" w:eastAsia="仿宋" w:hAnsi="仿宋" w:hint="eastAsia"/>
          <w:color w:val="1F4E79" w:themeColor="accent1" w:themeShade="80"/>
          <w:sz w:val="30"/>
          <w:szCs w:val="30"/>
        </w:rPr>
        <w:t>原料药、药用辅料和药包材登记信息公示</w:t>
      </w:r>
      <w:r w:rsidR="00AD3C60">
        <w:rPr>
          <w:rFonts w:ascii="仿宋" w:eastAsia="仿宋" w:hAnsi="仿宋" w:hint="eastAsia"/>
          <w:color w:val="1F4E79" w:themeColor="accent1" w:themeShade="80"/>
          <w:sz w:val="30"/>
          <w:szCs w:val="30"/>
        </w:rPr>
        <w:t>中</w:t>
      </w:r>
      <w:r w:rsidR="00AD3C60">
        <w:rPr>
          <w:rFonts w:ascii="仿宋" w:eastAsia="仿宋" w:hAnsi="仿宋"/>
          <w:color w:val="1F4E79" w:themeColor="accent1" w:themeShade="80"/>
          <w:sz w:val="30"/>
          <w:szCs w:val="30"/>
        </w:rPr>
        <w:t>只能看到品种名称</w:t>
      </w:r>
      <w:r w:rsidR="00B46A85">
        <w:rPr>
          <w:rFonts w:ascii="仿宋" w:eastAsia="仿宋" w:hAnsi="仿宋" w:hint="eastAsia"/>
          <w:color w:val="1F4E79" w:themeColor="accent1" w:themeShade="80"/>
          <w:sz w:val="30"/>
          <w:szCs w:val="30"/>
        </w:rPr>
        <w:t>、包装规格</w:t>
      </w:r>
      <w:r w:rsidR="00C54CEF">
        <w:rPr>
          <w:rFonts w:ascii="仿宋" w:eastAsia="仿宋" w:hAnsi="仿宋" w:hint="eastAsia"/>
          <w:color w:val="1F4E79" w:themeColor="accent1" w:themeShade="80"/>
          <w:sz w:val="30"/>
          <w:szCs w:val="30"/>
        </w:rPr>
        <w:t>，</w:t>
      </w:r>
      <w:r w:rsidR="00C54CEF">
        <w:rPr>
          <w:rFonts w:ascii="仿宋" w:eastAsia="仿宋" w:hAnsi="仿宋"/>
          <w:color w:val="1F4E79" w:themeColor="accent1" w:themeShade="80"/>
          <w:sz w:val="30"/>
          <w:szCs w:val="30"/>
        </w:rPr>
        <w:t>如何查看</w:t>
      </w:r>
      <w:r w:rsidR="00B46A85">
        <w:rPr>
          <w:rFonts w:ascii="仿宋" w:eastAsia="仿宋" w:hAnsi="仿宋" w:hint="eastAsia"/>
          <w:color w:val="1F4E79" w:themeColor="accent1" w:themeShade="80"/>
          <w:sz w:val="30"/>
          <w:szCs w:val="30"/>
        </w:rPr>
        <w:t>品种</w:t>
      </w:r>
      <w:r w:rsidR="00C54CEF">
        <w:rPr>
          <w:rFonts w:ascii="仿宋" w:eastAsia="仿宋" w:hAnsi="仿宋"/>
          <w:color w:val="1F4E79" w:themeColor="accent1" w:themeShade="80"/>
          <w:sz w:val="30"/>
          <w:szCs w:val="30"/>
        </w:rPr>
        <w:t>规格？</w:t>
      </w:r>
      <w:r w:rsidR="000C4D7D">
        <w:rPr>
          <w:rFonts w:ascii="仿宋" w:eastAsia="仿宋" w:hAnsi="仿宋" w:hint="eastAsia"/>
          <w:color w:val="1F4E79" w:themeColor="accent1" w:themeShade="80"/>
          <w:sz w:val="30"/>
          <w:szCs w:val="30"/>
        </w:rPr>
        <w:t>建议相同辅料不同</w:t>
      </w:r>
      <w:r w:rsidR="000C4D7D">
        <w:rPr>
          <w:rFonts w:ascii="仿宋" w:eastAsia="仿宋" w:hAnsi="仿宋"/>
          <w:color w:val="1F4E79" w:themeColor="accent1" w:themeShade="80"/>
          <w:sz w:val="30"/>
          <w:szCs w:val="30"/>
        </w:rPr>
        <w:t>品种规格</w:t>
      </w:r>
      <w:r w:rsidR="000C4D7D">
        <w:rPr>
          <w:rFonts w:ascii="仿宋" w:eastAsia="仿宋" w:hAnsi="仿宋" w:hint="eastAsia"/>
          <w:color w:val="1F4E79" w:themeColor="accent1" w:themeShade="80"/>
          <w:sz w:val="30"/>
          <w:szCs w:val="30"/>
        </w:rPr>
        <w:t>按</w:t>
      </w:r>
      <w:r w:rsidR="000C4D7D">
        <w:rPr>
          <w:rFonts w:ascii="仿宋" w:eastAsia="仿宋" w:hAnsi="仿宋"/>
          <w:color w:val="1F4E79" w:themeColor="accent1" w:themeShade="80"/>
          <w:sz w:val="30"/>
          <w:szCs w:val="30"/>
        </w:rPr>
        <w:t>不同登记号登记</w:t>
      </w:r>
      <w:r w:rsidR="000C4D7D">
        <w:rPr>
          <w:rFonts w:ascii="仿宋" w:eastAsia="仿宋" w:hAnsi="仿宋" w:hint="eastAsia"/>
          <w:color w:val="1F4E79" w:themeColor="accent1" w:themeShade="80"/>
          <w:sz w:val="30"/>
          <w:szCs w:val="30"/>
        </w:rPr>
        <w:t>，</w:t>
      </w:r>
      <w:r w:rsidR="000C4D7D">
        <w:rPr>
          <w:rFonts w:ascii="仿宋" w:eastAsia="仿宋" w:hAnsi="仿宋"/>
          <w:color w:val="1F4E79" w:themeColor="accent1" w:themeShade="80"/>
          <w:sz w:val="30"/>
          <w:szCs w:val="30"/>
        </w:rPr>
        <w:t>并在信息公示中</w:t>
      </w:r>
      <w:r w:rsidR="000C4D7D">
        <w:rPr>
          <w:rFonts w:ascii="仿宋" w:eastAsia="仿宋" w:hAnsi="仿宋" w:hint="eastAsia"/>
          <w:color w:val="1F4E79" w:themeColor="accent1" w:themeShade="80"/>
          <w:sz w:val="30"/>
          <w:szCs w:val="30"/>
        </w:rPr>
        <w:t>显示</w:t>
      </w:r>
      <w:r w:rsidR="009C774D">
        <w:rPr>
          <w:rFonts w:ascii="仿宋" w:eastAsia="仿宋" w:hAnsi="仿宋" w:hint="eastAsia"/>
          <w:color w:val="1F4E79" w:themeColor="accent1" w:themeShade="80"/>
          <w:sz w:val="30"/>
          <w:szCs w:val="30"/>
        </w:rPr>
        <w:t>品种</w:t>
      </w:r>
      <w:r w:rsidR="000C4D7D">
        <w:rPr>
          <w:rFonts w:ascii="仿宋" w:eastAsia="仿宋" w:hAnsi="仿宋"/>
          <w:color w:val="1F4E79" w:themeColor="accent1" w:themeShade="80"/>
          <w:sz w:val="30"/>
          <w:szCs w:val="30"/>
        </w:rPr>
        <w:t>规格。</w:t>
      </w:r>
    </w:p>
    <w:p w:rsidR="00E3045E" w:rsidRDefault="00E3045E" w:rsidP="00485832">
      <w:pPr>
        <w:spacing w:afterLines="50" w:after="156" w:line="24" w:lineRule="atLeast"/>
        <w:ind w:firstLineChars="200" w:firstLine="600"/>
        <w:rPr>
          <w:rFonts w:ascii="仿宋" w:eastAsia="仿宋" w:hAnsi="仿宋"/>
          <w:color w:val="1F4E79" w:themeColor="accent1" w:themeShade="80"/>
          <w:sz w:val="30"/>
          <w:szCs w:val="30"/>
        </w:rPr>
      </w:pPr>
      <w:r>
        <w:rPr>
          <w:rFonts w:ascii="仿宋" w:eastAsia="仿宋" w:hAnsi="仿宋" w:hint="eastAsia"/>
          <w:color w:val="1F4E79" w:themeColor="accent1" w:themeShade="80"/>
          <w:sz w:val="30"/>
          <w:szCs w:val="30"/>
        </w:rPr>
        <w:t xml:space="preserve">2. </w:t>
      </w:r>
      <w:r w:rsidRPr="00E3045E">
        <w:rPr>
          <w:rFonts w:ascii="仿宋" w:eastAsia="仿宋" w:hAnsi="仿宋" w:hint="eastAsia"/>
          <w:color w:val="1F4E79" w:themeColor="accent1" w:themeShade="80"/>
          <w:sz w:val="30"/>
          <w:szCs w:val="30"/>
        </w:rPr>
        <w:t>药用辅料有多于一处生产地址的应单次登记申报还是分地址多次申报？建议：同一个企业名称应一个登记号一次申报，建议出台政策解读给予说明。</w:t>
      </w:r>
    </w:p>
    <w:p w:rsidR="00F431F8" w:rsidRPr="000211E7" w:rsidRDefault="008F49D1" w:rsidP="00D84BA5">
      <w:pPr>
        <w:spacing w:afterLines="50" w:after="156" w:line="24" w:lineRule="atLeast"/>
        <w:ind w:firstLineChars="200" w:firstLine="600"/>
        <w:rPr>
          <w:rFonts w:ascii="仿宋" w:eastAsia="仿宋" w:hAnsi="仿宋"/>
          <w:sz w:val="30"/>
          <w:szCs w:val="30"/>
        </w:rPr>
      </w:pPr>
      <w:r>
        <w:rPr>
          <w:rFonts w:ascii="仿宋" w:eastAsia="仿宋" w:hAnsi="仿宋" w:hint="eastAsia"/>
          <w:sz w:val="30"/>
          <w:szCs w:val="30"/>
        </w:rPr>
        <w:t>六</w:t>
      </w:r>
      <w:r w:rsidR="000211E7">
        <w:rPr>
          <w:rFonts w:ascii="仿宋" w:eastAsia="仿宋" w:hAnsi="仿宋" w:hint="eastAsia"/>
          <w:sz w:val="30"/>
          <w:szCs w:val="30"/>
        </w:rPr>
        <w:t>、</w:t>
      </w:r>
      <w:r w:rsidR="00F431F8" w:rsidRPr="000211E7">
        <w:rPr>
          <w:rFonts w:ascii="仿宋" w:eastAsia="仿宋" w:hAnsi="仿宋" w:hint="eastAsia"/>
          <w:sz w:val="30"/>
          <w:szCs w:val="30"/>
        </w:rPr>
        <w:t>针对</w:t>
      </w:r>
      <w:r w:rsidR="00082B6F">
        <w:rPr>
          <w:rFonts w:ascii="仿宋" w:eastAsia="仿宋" w:hAnsi="仿宋" w:hint="eastAsia"/>
          <w:b/>
          <w:sz w:val="30"/>
          <w:szCs w:val="30"/>
        </w:rPr>
        <w:t>“</w:t>
      </w:r>
      <w:r w:rsidR="00082B6F" w:rsidRPr="00AD3C60">
        <w:rPr>
          <w:rFonts w:ascii="仿宋" w:eastAsia="仿宋" w:hAnsi="仿宋" w:hint="eastAsia"/>
          <w:b/>
          <w:sz w:val="30"/>
          <w:szCs w:val="30"/>
        </w:rPr>
        <w:t>总局关于药包材药用辅料与药品关联审评审批有关事项的公告（2016年第134号）</w:t>
      </w:r>
      <w:r w:rsidR="00082B6F" w:rsidRPr="000211E7">
        <w:rPr>
          <w:rFonts w:ascii="仿宋" w:eastAsia="仿宋" w:hAnsi="仿宋"/>
          <w:sz w:val="30"/>
          <w:szCs w:val="30"/>
        </w:rPr>
        <w:t>附件1</w:t>
      </w:r>
      <w:r w:rsidR="00082B6F" w:rsidRPr="000211E7">
        <w:rPr>
          <w:rFonts w:ascii="仿宋" w:eastAsia="仿宋" w:hAnsi="仿宋" w:hint="eastAsia"/>
          <w:b/>
          <w:sz w:val="30"/>
          <w:szCs w:val="30"/>
        </w:rPr>
        <w:t>实行关联审评审批的药包材和药用辅料范围（试行）</w:t>
      </w:r>
      <w:r w:rsidR="00082B6F">
        <w:rPr>
          <w:rFonts w:ascii="仿宋" w:eastAsia="仿宋" w:hAnsi="仿宋" w:hint="eastAsia"/>
          <w:b/>
          <w:sz w:val="30"/>
          <w:szCs w:val="30"/>
        </w:rPr>
        <w:t>”</w:t>
      </w:r>
      <w:r w:rsidR="00CD2918" w:rsidRPr="000211E7">
        <w:rPr>
          <w:rFonts w:ascii="仿宋" w:eastAsia="仿宋" w:hAnsi="仿宋"/>
          <w:sz w:val="30"/>
          <w:szCs w:val="30"/>
        </w:rPr>
        <w:t>中</w:t>
      </w:r>
      <w:r w:rsidR="00F431F8" w:rsidRPr="000211E7">
        <w:rPr>
          <w:rFonts w:ascii="仿宋" w:eastAsia="仿宋" w:hAnsi="仿宋" w:hint="eastAsia"/>
          <w:sz w:val="30"/>
          <w:szCs w:val="30"/>
        </w:rPr>
        <w:t>提到</w:t>
      </w:r>
      <w:r w:rsidR="00F431F8" w:rsidRPr="000211E7">
        <w:rPr>
          <w:rFonts w:ascii="仿宋" w:eastAsia="仿宋" w:hAnsi="仿宋"/>
          <w:sz w:val="30"/>
          <w:szCs w:val="30"/>
        </w:rPr>
        <w:t>“已在批准上市的药品中长期使用，</w:t>
      </w:r>
      <w:r w:rsidR="00F431F8" w:rsidRPr="000211E7">
        <w:rPr>
          <w:rFonts w:ascii="仿宋" w:eastAsia="仿宋" w:hAnsi="仿宋" w:hint="eastAsia"/>
          <w:sz w:val="30"/>
          <w:szCs w:val="30"/>
        </w:rPr>
        <w:t>且</w:t>
      </w:r>
      <w:r w:rsidR="00F431F8" w:rsidRPr="000211E7">
        <w:rPr>
          <w:rFonts w:ascii="仿宋" w:eastAsia="仿宋" w:hAnsi="仿宋"/>
          <w:sz w:val="30"/>
          <w:szCs w:val="30"/>
        </w:rPr>
        <w:t>用于局部经皮或口服途径风险较低的辅料</w:t>
      </w:r>
      <w:r w:rsidR="00F431F8" w:rsidRPr="000211E7">
        <w:rPr>
          <w:rFonts w:ascii="仿宋" w:eastAsia="仿宋" w:hAnsi="仿宋" w:hint="eastAsia"/>
          <w:sz w:val="30"/>
          <w:szCs w:val="30"/>
        </w:rPr>
        <w:t>，</w:t>
      </w:r>
      <w:r w:rsidR="00F431F8" w:rsidRPr="000211E7">
        <w:rPr>
          <w:rFonts w:ascii="仿宋" w:eastAsia="仿宋" w:hAnsi="仿宋"/>
          <w:sz w:val="30"/>
          <w:szCs w:val="30"/>
        </w:rPr>
        <w:t>如矫味剂、甜味剂、香精、色素等执行相应行业标准，不纳入本目录。”</w:t>
      </w:r>
      <w:r w:rsidR="00F431F8" w:rsidRPr="000211E7">
        <w:rPr>
          <w:rFonts w:ascii="仿宋" w:eastAsia="仿宋" w:hAnsi="仿宋" w:hint="eastAsia"/>
          <w:sz w:val="30"/>
          <w:szCs w:val="30"/>
        </w:rPr>
        <w:t>的</w:t>
      </w:r>
      <w:r w:rsidR="00F431F8" w:rsidRPr="000211E7">
        <w:rPr>
          <w:rFonts w:ascii="仿宋" w:eastAsia="仿宋" w:hAnsi="仿宋"/>
          <w:sz w:val="30"/>
          <w:szCs w:val="30"/>
        </w:rPr>
        <w:t>建议。</w:t>
      </w:r>
    </w:p>
    <w:p w:rsidR="00F431F8" w:rsidRPr="00FA6EB8" w:rsidRDefault="00FA6EB8" w:rsidP="00FA6EB8">
      <w:pPr>
        <w:spacing w:afterLines="50" w:after="156" w:line="24" w:lineRule="atLeast"/>
        <w:ind w:firstLineChars="200" w:firstLine="600"/>
        <w:rPr>
          <w:rFonts w:ascii="仿宋" w:eastAsia="仿宋" w:hAnsi="仿宋"/>
          <w:color w:val="1F4E79" w:themeColor="accent1" w:themeShade="80"/>
          <w:sz w:val="30"/>
          <w:szCs w:val="30"/>
        </w:rPr>
      </w:pPr>
      <w:r>
        <w:rPr>
          <w:rFonts w:ascii="仿宋" w:eastAsia="仿宋" w:hAnsi="仿宋" w:hint="eastAsia"/>
          <w:color w:val="1F4E79" w:themeColor="accent1" w:themeShade="80"/>
          <w:sz w:val="30"/>
          <w:szCs w:val="30"/>
        </w:rPr>
        <w:t>1.</w:t>
      </w:r>
      <w:r w:rsidR="00AD3C60">
        <w:rPr>
          <w:rFonts w:ascii="仿宋" w:eastAsia="仿宋" w:hAnsi="仿宋"/>
          <w:color w:val="1F4E79" w:themeColor="accent1" w:themeShade="80"/>
          <w:sz w:val="30"/>
          <w:szCs w:val="30"/>
        </w:rPr>
        <w:t xml:space="preserve"> </w:t>
      </w:r>
      <w:r w:rsidR="00CD2918" w:rsidRPr="00FA6EB8">
        <w:rPr>
          <w:rFonts w:ascii="仿宋" w:eastAsia="仿宋" w:hAnsi="仿宋"/>
          <w:color w:val="1F4E79" w:themeColor="accent1" w:themeShade="80"/>
          <w:sz w:val="30"/>
          <w:szCs w:val="30"/>
        </w:rPr>
        <w:t>规定的不纳入关联审评审批的药用辅料</w:t>
      </w:r>
      <w:r w:rsidR="00CD2918" w:rsidRPr="00FA6EB8">
        <w:rPr>
          <w:rFonts w:ascii="仿宋" w:eastAsia="仿宋" w:hAnsi="仿宋" w:hint="eastAsia"/>
          <w:color w:val="1F4E79" w:themeColor="accent1" w:themeShade="80"/>
          <w:sz w:val="30"/>
          <w:szCs w:val="30"/>
        </w:rPr>
        <w:t>是否允许登记申报？性</w:t>
      </w:r>
      <w:r w:rsidR="00BA3D3C">
        <w:rPr>
          <w:rFonts w:ascii="仿宋" w:eastAsia="仿宋" w:hAnsi="仿宋" w:hint="eastAsia"/>
          <w:color w:val="1F4E79" w:themeColor="accent1" w:themeShade="80"/>
          <w:sz w:val="30"/>
          <w:szCs w:val="30"/>
        </w:rPr>
        <w:t>质类似但未明确列入表中的药用辅料是否允许登记申报？建议允许</w:t>
      </w:r>
      <w:r w:rsidR="00CD2918" w:rsidRPr="00FA6EB8">
        <w:rPr>
          <w:rFonts w:ascii="仿宋" w:eastAsia="仿宋" w:hAnsi="仿宋" w:hint="eastAsia"/>
          <w:color w:val="1F4E79" w:themeColor="accent1" w:themeShade="80"/>
          <w:sz w:val="30"/>
          <w:szCs w:val="30"/>
        </w:rPr>
        <w:t>登记</w:t>
      </w:r>
      <w:r w:rsidR="00FA1505">
        <w:rPr>
          <w:rFonts w:ascii="仿宋" w:eastAsia="仿宋" w:hAnsi="仿宋" w:hint="eastAsia"/>
          <w:color w:val="1F4E79" w:themeColor="accent1" w:themeShade="80"/>
          <w:sz w:val="30"/>
          <w:szCs w:val="30"/>
        </w:rPr>
        <w:t>，申报</w:t>
      </w:r>
      <w:r w:rsidR="00CD2918" w:rsidRPr="00FA6EB8">
        <w:rPr>
          <w:rFonts w:ascii="仿宋" w:eastAsia="仿宋" w:hAnsi="仿宋" w:hint="eastAsia"/>
          <w:color w:val="1F4E79" w:themeColor="accent1" w:themeShade="80"/>
          <w:sz w:val="30"/>
          <w:szCs w:val="30"/>
        </w:rPr>
        <w:t>材料要求按</w:t>
      </w:r>
      <w:r w:rsidR="00FA1505">
        <w:rPr>
          <w:rFonts w:ascii="仿宋" w:eastAsia="仿宋" w:hAnsi="仿宋" w:hint="eastAsia"/>
          <w:color w:val="1F4E79" w:themeColor="accent1" w:themeShade="80"/>
          <w:sz w:val="30"/>
          <w:szCs w:val="30"/>
        </w:rPr>
        <w:t>1</w:t>
      </w:r>
      <w:r w:rsidR="00FA1505">
        <w:rPr>
          <w:rFonts w:ascii="仿宋" w:eastAsia="仿宋" w:hAnsi="仿宋"/>
          <w:color w:val="1F4E79" w:themeColor="accent1" w:themeShade="80"/>
          <w:sz w:val="30"/>
          <w:szCs w:val="30"/>
        </w:rPr>
        <w:t>55</w:t>
      </w:r>
      <w:r w:rsidR="00FA1505">
        <w:rPr>
          <w:rFonts w:ascii="仿宋" w:eastAsia="仿宋" w:hAnsi="仿宋" w:hint="eastAsia"/>
          <w:color w:val="1F4E79" w:themeColor="accent1" w:themeShade="80"/>
          <w:sz w:val="30"/>
          <w:szCs w:val="30"/>
        </w:rPr>
        <w:t>号</w:t>
      </w:r>
      <w:r w:rsidR="00FA1505">
        <w:rPr>
          <w:rFonts w:ascii="仿宋" w:eastAsia="仿宋" w:hAnsi="仿宋"/>
          <w:color w:val="1F4E79" w:themeColor="accent1" w:themeShade="80"/>
          <w:sz w:val="30"/>
          <w:szCs w:val="30"/>
        </w:rPr>
        <w:t>文</w:t>
      </w:r>
      <w:r w:rsidR="00CD2918" w:rsidRPr="00FA6EB8">
        <w:rPr>
          <w:rFonts w:ascii="仿宋" w:eastAsia="仿宋" w:hAnsi="仿宋" w:hint="eastAsia"/>
          <w:color w:val="1F4E79" w:themeColor="accent1" w:themeShade="80"/>
          <w:sz w:val="30"/>
          <w:szCs w:val="30"/>
        </w:rPr>
        <w:t>的要求。</w:t>
      </w:r>
    </w:p>
    <w:p w:rsidR="00FE5110" w:rsidRPr="00FA6EB8" w:rsidRDefault="00FA6EB8" w:rsidP="00FA6EB8">
      <w:pPr>
        <w:spacing w:afterLines="50" w:after="156" w:line="24" w:lineRule="atLeast"/>
        <w:ind w:firstLineChars="200" w:firstLine="600"/>
        <w:rPr>
          <w:rFonts w:ascii="仿宋" w:eastAsia="仿宋" w:hAnsi="仿宋"/>
          <w:sz w:val="30"/>
          <w:szCs w:val="30"/>
        </w:rPr>
      </w:pPr>
      <w:r>
        <w:rPr>
          <w:rFonts w:ascii="仿宋" w:eastAsia="仿宋" w:hAnsi="仿宋" w:hint="eastAsia"/>
          <w:color w:val="1F4E79" w:themeColor="accent1" w:themeShade="80"/>
          <w:sz w:val="30"/>
          <w:szCs w:val="30"/>
        </w:rPr>
        <w:t>2.</w:t>
      </w:r>
      <w:r w:rsidR="00AD3C60">
        <w:rPr>
          <w:rFonts w:ascii="仿宋" w:eastAsia="仿宋" w:hAnsi="仿宋"/>
          <w:color w:val="1F4E79" w:themeColor="accent1" w:themeShade="80"/>
          <w:sz w:val="30"/>
          <w:szCs w:val="30"/>
        </w:rPr>
        <w:t xml:space="preserve"> </w:t>
      </w:r>
      <w:r w:rsidR="00D655ED" w:rsidRPr="00FA6EB8">
        <w:rPr>
          <w:rFonts w:ascii="仿宋" w:eastAsia="仿宋" w:hAnsi="仿宋" w:hint="eastAsia"/>
          <w:color w:val="1F4E79" w:themeColor="accent1" w:themeShade="80"/>
          <w:sz w:val="30"/>
          <w:szCs w:val="30"/>
        </w:rPr>
        <w:t>希望</w:t>
      </w:r>
      <w:r w:rsidR="00D655ED" w:rsidRPr="00FA6EB8">
        <w:rPr>
          <w:rFonts w:ascii="仿宋" w:eastAsia="仿宋" w:hAnsi="仿宋"/>
          <w:color w:val="1F4E79" w:themeColor="accent1" w:themeShade="80"/>
          <w:sz w:val="30"/>
          <w:szCs w:val="30"/>
        </w:rPr>
        <w:t>能够尽快出台关于</w:t>
      </w:r>
      <w:r w:rsidR="00D655ED" w:rsidRPr="00FA6EB8">
        <w:rPr>
          <w:rFonts w:ascii="仿宋" w:eastAsia="仿宋" w:hAnsi="仿宋" w:hint="eastAsia"/>
          <w:color w:val="1F4E79" w:themeColor="accent1" w:themeShade="80"/>
          <w:sz w:val="30"/>
          <w:szCs w:val="30"/>
        </w:rPr>
        <w:t>如矫味剂、甜味剂、香精、色素等备案登记的</w:t>
      </w:r>
      <w:r w:rsidR="00D655ED" w:rsidRPr="00FA6EB8">
        <w:rPr>
          <w:rFonts w:ascii="仿宋" w:eastAsia="仿宋" w:hAnsi="仿宋"/>
          <w:color w:val="1F4E79" w:themeColor="accent1" w:themeShade="80"/>
          <w:sz w:val="30"/>
          <w:szCs w:val="30"/>
        </w:rPr>
        <w:t>规定。</w:t>
      </w:r>
    </w:p>
    <w:p w:rsidR="00FE5110" w:rsidRPr="00805969" w:rsidRDefault="00FE5110" w:rsidP="00565336">
      <w:pPr>
        <w:spacing w:afterLines="50" w:after="156" w:line="24" w:lineRule="atLeast"/>
        <w:rPr>
          <w:rFonts w:ascii="仿宋" w:eastAsia="仿宋" w:hAnsi="仿宋"/>
          <w:color w:val="1F4E79" w:themeColor="accent1" w:themeShade="80"/>
          <w:sz w:val="30"/>
          <w:szCs w:val="30"/>
        </w:rPr>
      </w:pPr>
    </w:p>
    <w:sectPr w:rsidR="00FE5110" w:rsidRPr="00805969" w:rsidSect="00B50931">
      <w:headerReference w:type="default" r:id="rId7"/>
      <w:pgSz w:w="11906" w:h="16838"/>
      <w:pgMar w:top="1191" w:right="1418" w:bottom="1191" w:left="1418" w:header="283"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149" w:rsidRDefault="00A76149" w:rsidP="002F04BC">
      <w:r>
        <w:separator/>
      </w:r>
    </w:p>
  </w:endnote>
  <w:endnote w:type="continuationSeparator" w:id="0">
    <w:p w:rsidR="00A76149" w:rsidRDefault="00A76149" w:rsidP="002F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149" w:rsidRDefault="00A76149" w:rsidP="002F04BC">
      <w:r>
        <w:separator/>
      </w:r>
    </w:p>
  </w:footnote>
  <w:footnote w:type="continuationSeparator" w:id="0">
    <w:p w:rsidR="00A76149" w:rsidRDefault="00A76149" w:rsidP="002F0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31" w:rsidRDefault="00B50931">
    <w:pPr>
      <w:pStyle w:val="a5"/>
    </w:pPr>
    <w:r>
      <w:rPr>
        <w:noProof/>
      </w:rPr>
      <w:drawing>
        <wp:inline distT="0" distB="0" distL="0" distR="0">
          <wp:extent cx="5759450" cy="1149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文件格式协会-红.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1149350"/>
                  </a:xfrm>
                  <a:prstGeom prst="rect">
                    <a:avLst/>
                  </a:prstGeom>
                </pic:spPr>
              </pic:pic>
            </a:graphicData>
          </a:graphic>
        </wp:inline>
      </w:drawing>
    </w:r>
  </w:p>
  <w:p w:rsidR="009C4EC8" w:rsidRPr="009C4EC8" w:rsidRDefault="009C4EC8">
    <w:pPr>
      <w:pStyle w:val="a5"/>
      <w:rPr>
        <w:color w:val="FF0000"/>
      </w:rPr>
    </w:pPr>
    <w:r w:rsidRPr="009C4EC8">
      <w:rPr>
        <w:rFonts w:hint="eastAsia"/>
        <w:color w:val="FF0000"/>
      </w:rPr>
      <w:t>药</w:t>
    </w:r>
    <w:r w:rsidRPr="009C4EC8">
      <w:rPr>
        <w:color w:val="FF0000"/>
      </w:rPr>
      <w:t>辅字</w:t>
    </w:r>
    <w:r>
      <w:rPr>
        <w:rFonts w:hint="eastAsia"/>
        <w:color w:val="FF0000"/>
      </w:rPr>
      <w:t>[</w:t>
    </w:r>
    <w:r w:rsidR="00C75FAB">
      <w:rPr>
        <w:rFonts w:hint="eastAsia"/>
        <w:color w:val="FF0000"/>
      </w:rPr>
      <w:t>2018</w:t>
    </w:r>
    <w:r>
      <w:rPr>
        <w:rFonts w:hint="eastAsia"/>
        <w:color w:val="FF0000"/>
      </w:rPr>
      <w:t xml:space="preserve">] </w:t>
    </w:r>
    <w:r w:rsidR="00FB7730">
      <w:rPr>
        <w:rFonts w:hint="eastAsia"/>
        <w:color w:val="FF0000"/>
      </w:rPr>
      <w:t>00</w:t>
    </w:r>
    <w:r w:rsidR="00134D0E">
      <w:rPr>
        <w:color w:val="FF000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685E"/>
    <w:multiLevelType w:val="hybridMultilevel"/>
    <w:tmpl w:val="2A0EAA2C"/>
    <w:lvl w:ilvl="0" w:tplc="562669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E85611"/>
    <w:multiLevelType w:val="hybridMultilevel"/>
    <w:tmpl w:val="4DEA6CEC"/>
    <w:lvl w:ilvl="0" w:tplc="EAD45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9E02F5"/>
    <w:multiLevelType w:val="hybridMultilevel"/>
    <w:tmpl w:val="2DB28D98"/>
    <w:lvl w:ilvl="0" w:tplc="393AED6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
    <w:nsid w:val="07451CC3"/>
    <w:multiLevelType w:val="hybridMultilevel"/>
    <w:tmpl w:val="A4B893E6"/>
    <w:lvl w:ilvl="0" w:tplc="BA224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BE697E"/>
    <w:multiLevelType w:val="hybridMultilevel"/>
    <w:tmpl w:val="F5D2140A"/>
    <w:lvl w:ilvl="0" w:tplc="1B86659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nsid w:val="0AFD4934"/>
    <w:multiLevelType w:val="hybridMultilevel"/>
    <w:tmpl w:val="CA442C44"/>
    <w:lvl w:ilvl="0" w:tplc="09625C6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EDD5A27"/>
    <w:multiLevelType w:val="hybridMultilevel"/>
    <w:tmpl w:val="F37091EC"/>
    <w:lvl w:ilvl="0" w:tplc="C0B46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08E53CC"/>
    <w:multiLevelType w:val="hybridMultilevel"/>
    <w:tmpl w:val="3DC644B4"/>
    <w:lvl w:ilvl="0" w:tplc="1F2E908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8">
    <w:nsid w:val="14A35FC6"/>
    <w:multiLevelType w:val="hybridMultilevel"/>
    <w:tmpl w:val="AFB680AE"/>
    <w:lvl w:ilvl="0" w:tplc="1E84F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AB12FFB"/>
    <w:multiLevelType w:val="hybridMultilevel"/>
    <w:tmpl w:val="DADE387E"/>
    <w:lvl w:ilvl="0" w:tplc="9C9208BE">
      <w:start w:val="1"/>
      <w:numFmt w:val="decimal"/>
      <w:lvlText w:val="%1."/>
      <w:lvlJc w:val="left"/>
      <w:pPr>
        <w:ind w:left="360" w:hanging="360"/>
      </w:pPr>
      <w:rPr>
        <w:rFonts w:ascii="Calibri" w:eastAsia="宋体" w:hAnsi="Calibri" w:cs="Calibri" w:hint="default"/>
        <w:color w:val="1F497D"/>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CF67C3"/>
    <w:multiLevelType w:val="hybridMultilevel"/>
    <w:tmpl w:val="149606A2"/>
    <w:lvl w:ilvl="0" w:tplc="2E7CCD00">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1">
    <w:nsid w:val="1F826A47"/>
    <w:multiLevelType w:val="hybridMultilevel"/>
    <w:tmpl w:val="CF989408"/>
    <w:lvl w:ilvl="0" w:tplc="E72E5024">
      <w:start w:val="1"/>
      <w:numFmt w:val="decimal"/>
      <w:lvlText w:val="%1."/>
      <w:lvlJc w:val="left"/>
      <w:pPr>
        <w:ind w:left="360" w:hanging="360"/>
      </w:pPr>
      <w:rPr>
        <w:rFonts w:cstheme="minorHAnsi" w:hint="default"/>
        <w:color w:val="1F497D"/>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7147022"/>
    <w:multiLevelType w:val="hybridMultilevel"/>
    <w:tmpl w:val="5BC89E0A"/>
    <w:lvl w:ilvl="0" w:tplc="8620EEBC">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3">
    <w:nsid w:val="28921068"/>
    <w:multiLevelType w:val="hybridMultilevel"/>
    <w:tmpl w:val="2626CFF0"/>
    <w:lvl w:ilvl="0" w:tplc="CA6AD63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CB56276"/>
    <w:multiLevelType w:val="hybridMultilevel"/>
    <w:tmpl w:val="579EA5DE"/>
    <w:lvl w:ilvl="0" w:tplc="4906B7A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5">
    <w:nsid w:val="2FB1476C"/>
    <w:multiLevelType w:val="hybridMultilevel"/>
    <w:tmpl w:val="389892C8"/>
    <w:lvl w:ilvl="0" w:tplc="784EBCB6">
      <w:start w:val="1"/>
      <w:numFmt w:val="decimal"/>
      <w:lvlText w:val="%1."/>
      <w:lvlJc w:val="left"/>
      <w:pPr>
        <w:ind w:left="360" w:hanging="360"/>
      </w:pPr>
      <w:rPr>
        <w:rFonts w:asciiTheme="minorEastAsia" w:eastAsiaTheme="minorEastAsia" w:hAnsiTheme="minorEastAsia" w:cs="宋体" w:hint="default"/>
        <w:b/>
        <w:color w:val="333333"/>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0904E07"/>
    <w:multiLevelType w:val="hybridMultilevel"/>
    <w:tmpl w:val="DBBA307A"/>
    <w:lvl w:ilvl="0" w:tplc="FBA2298A">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7">
    <w:nsid w:val="32F057FB"/>
    <w:multiLevelType w:val="hybridMultilevel"/>
    <w:tmpl w:val="A4B2B5CA"/>
    <w:lvl w:ilvl="0" w:tplc="3760A62E">
      <w:start w:val="1"/>
      <w:numFmt w:val="decimal"/>
      <w:lvlText w:val="%1）"/>
      <w:lvlJc w:val="left"/>
      <w:pPr>
        <w:ind w:left="1245" w:hanging="36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18">
    <w:nsid w:val="355E09AF"/>
    <w:multiLevelType w:val="hybridMultilevel"/>
    <w:tmpl w:val="38AEDE86"/>
    <w:lvl w:ilvl="0" w:tplc="C0E6C0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5BC1E6B"/>
    <w:multiLevelType w:val="hybridMultilevel"/>
    <w:tmpl w:val="CEF2B096"/>
    <w:lvl w:ilvl="0" w:tplc="A6FCA0A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0">
    <w:nsid w:val="372F437E"/>
    <w:multiLevelType w:val="hybridMultilevel"/>
    <w:tmpl w:val="0818DB10"/>
    <w:lvl w:ilvl="0" w:tplc="B1D2432E">
      <w:start w:val="1"/>
      <w:numFmt w:val="decimal"/>
      <w:lvlText w:val="%1."/>
      <w:lvlJc w:val="left"/>
      <w:pPr>
        <w:ind w:left="360" w:hanging="360"/>
      </w:pPr>
      <w:rPr>
        <w:rFonts w:ascii="Calibri" w:eastAsia="宋体" w:hAnsi="Calibri" w:cs="Calibri"/>
        <w:color w:val="1F497D"/>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849159C"/>
    <w:multiLevelType w:val="hybridMultilevel"/>
    <w:tmpl w:val="A0B84CFA"/>
    <w:lvl w:ilvl="0" w:tplc="66D0A59A">
      <w:start w:val="1"/>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5454A"/>
    <w:multiLevelType w:val="hybridMultilevel"/>
    <w:tmpl w:val="5186EBD4"/>
    <w:lvl w:ilvl="0" w:tplc="CFFA249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3">
    <w:nsid w:val="3CD57094"/>
    <w:multiLevelType w:val="hybridMultilevel"/>
    <w:tmpl w:val="C0342A4C"/>
    <w:lvl w:ilvl="0" w:tplc="7EB695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01C45D5"/>
    <w:multiLevelType w:val="hybridMultilevel"/>
    <w:tmpl w:val="C340FC54"/>
    <w:lvl w:ilvl="0" w:tplc="D03E52DE">
      <w:start w:val="1"/>
      <w:numFmt w:val="japaneseCounting"/>
      <w:lvlText w:val="%1、"/>
      <w:lvlJc w:val="left"/>
      <w:pPr>
        <w:ind w:left="525" w:hanging="52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5C07867"/>
    <w:multiLevelType w:val="hybridMultilevel"/>
    <w:tmpl w:val="E5F47126"/>
    <w:lvl w:ilvl="0" w:tplc="28D016C4">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6">
    <w:nsid w:val="565374B0"/>
    <w:multiLevelType w:val="hybridMultilevel"/>
    <w:tmpl w:val="DDCC96A8"/>
    <w:lvl w:ilvl="0" w:tplc="B498CA9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7">
    <w:nsid w:val="595A1EA4"/>
    <w:multiLevelType w:val="hybridMultilevel"/>
    <w:tmpl w:val="FAEE253C"/>
    <w:lvl w:ilvl="0" w:tplc="C5B2ED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A083BF5"/>
    <w:multiLevelType w:val="hybridMultilevel"/>
    <w:tmpl w:val="28F0D6C2"/>
    <w:lvl w:ilvl="0" w:tplc="5F4ECC3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9">
    <w:nsid w:val="69967DCD"/>
    <w:multiLevelType w:val="hybridMultilevel"/>
    <w:tmpl w:val="5C4ADB94"/>
    <w:lvl w:ilvl="0" w:tplc="BF5003AC">
      <w:start w:val="1"/>
      <w:numFmt w:val="decimal"/>
      <w:lvlText w:val="%1."/>
      <w:lvlJc w:val="left"/>
      <w:pPr>
        <w:ind w:left="885" w:hanging="360"/>
      </w:pPr>
      <w:rPr>
        <w:rFonts w:hint="default"/>
        <w:color w:val="1F4E79" w:themeColor="accent1" w:themeShade="80"/>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0">
    <w:nsid w:val="6E9F223E"/>
    <w:multiLevelType w:val="hybridMultilevel"/>
    <w:tmpl w:val="45ECEB54"/>
    <w:lvl w:ilvl="0" w:tplc="5526FD04">
      <w:start w:val="1"/>
      <w:numFmt w:val="decimal"/>
      <w:lvlText w:val="%1."/>
      <w:lvlJc w:val="left"/>
      <w:pPr>
        <w:ind w:left="360" w:hanging="360"/>
      </w:pPr>
      <w:rPr>
        <w:rFonts w:ascii="Calibri" w:hAnsi="Calibri" w:cs="Calibri" w:hint="default"/>
        <w:color w:val="1F497D"/>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34B4C1E"/>
    <w:multiLevelType w:val="hybridMultilevel"/>
    <w:tmpl w:val="15E2C9AC"/>
    <w:lvl w:ilvl="0" w:tplc="7A9E7186">
      <w:start w:val="1"/>
      <w:numFmt w:val="decimal"/>
      <w:lvlText w:val="%1."/>
      <w:lvlJc w:val="left"/>
      <w:pPr>
        <w:ind w:left="360" w:hanging="360"/>
      </w:pPr>
      <w:rPr>
        <w:rFonts w:ascii="Calibri" w:eastAsiaTheme="minorEastAsia" w:hAnsi="Calibri" w:cs="Calibr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463477B"/>
    <w:multiLevelType w:val="hybridMultilevel"/>
    <w:tmpl w:val="0C72D20C"/>
    <w:lvl w:ilvl="0" w:tplc="C46E251C">
      <w:start w:val="1"/>
      <w:numFmt w:val="decimal"/>
      <w:lvlText w:val="%1."/>
      <w:lvlJc w:val="left"/>
      <w:pPr>
        <w:ind w:left="885" w:hanging="360"/>
      </w:pPr>
      <w:rPr>
        <w:rFonts w:hint="default"/>
        <w:b w:val="0"/>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3">
    <w:nsid w:val="77316564"/>
    <w:multiLevelType w:val="hybridMultilevel"/>
    <w:tmpl w:val="3DC644B4"/>
    <w:lvl w:ilvl="0" w:tplc="1F2E908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0"/>
  </w:num>
  <w:num w:numId="2">
    <w:abstractNumId w:val="30"/>
  </w:num>
  <w:num w:numId="3">
    <w:abstractNumId w:val="9"/>
  </w:num>
  <w:num w:numId="4">
    <w:abstractNumId w:val="3"/>
  </w:num>
  <w:num w:numId="5">
    <w:abstractNumId w:val="23"/>
  </w:num>
  <w:num w:numId="6">
    <w:abstractNumId w:val="11"/>
  </w:num>
  <w:num w:numId="7">
    <w:abstractNumId w:val="31"/>
  </w:num>
  <w:num w:numId="8">
    <w:abstractNumId w:val="20"/>
  </w:num>
  <w:num w:numId="9">
    <w:abstractNumId w:val="15"/>
  </w:num>
  <w:num w:numId="10">
    <w:abstractNumId w:val="8"/>
  </w:num>
  <w:num w:numId="11">
    <w:abstractNumId w:val="1"/>
  </w:num>
  <w:num w:numId="12">
    <w:abstractNumId w:val="6"/>
  </w:num>
  <w:num w:numId="13">
    <w:abstractNumId w:val="18"/>
  </w:num>
  <w:num w:numId="14">
    <w:abstractNumId w:val="21"/>
  </w:num>
  <w:num w:numId="15">
    <w:abstractNumId w:val="24"/>
  </w:num>
  <w:num w:numId="16">
    <w:abstractNumId w:val="19"/>
  </w:num>
  <w:num w:numId="17">
    <w:abstractNumId w:val="12"/>
  </w:num>
  <w:num w:numId="18">
    <w:abstractNumId w:val="2"/>
  </w:num>
  <w:num w:numId="19">
    <w:abstractNumId w:val="7"/>
  </w:num>
  <w:num w:numId="20">
    <w:abstractNumId w:val="28"/>
  </w:num>
  <w:num w:numId="21">
    <w:abstractNumId w:val="22"/>
  </w:num>
  <w:num w:numId="22">
    <w:abstractNumId w:val="25"/>
  </w:num>
  <w:num w:numId="23">
    <w:abstractNumId w:val="13"/>
  </w:num>
  <w:num w:numId="24">
    <w:abstractNumId w:val="27"/>
  </w:num>
  <w:num w:numId="25">
    <w:abstractNumId w:val="5"/>
  </w:num>
  <w:num w:numId="26">
    <w:abstractNumId w:val="26"/>
  </w:num>
  <w:num w:numId="27">
    <w:abstractNumId w:val="10"/>
  </w:num>
  <w:num w:numId="28">
    <w:abstractNumId w:val="16"/>
  </w:num>
  <w:num w:numId="29">
    <w:abstractNumId w:val="4"/>
  </w:num>
  <w:num w:numId="30">
    <w:abstractNumId w:val="33"/>
  </w:num>
  <w:num w:numId="31">
    <w:abstractNumId w:val="29"/>
  </w:num>
  <w:num w:numId="32">
    <w:abstractNumId w:val="17"/>
  </w:num>
  <w:num w:numId="33">
    <w:abstractNumId w:val="1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351"/>
    <w:rsid w:val="00000A35"/>
    <w:rsid w:val="000211E7"/>
    <w:rsid w:val="00054708"/>
    <w:rsid w:val="00063934"/>
    <w:rsid w:val="00073158"/>
    <w:rsid w:val="00082B6F"/>
    <w:rsid w:val="000C4D7D"/>
    <w:rsid w:val="000D5743"/>
    <w:rsid w:val="000E3032"/>
    <w:rsid w:val="000F3A9D"/>
    <w:rsid w:val="000F45AA"/>
    <w:rsid w:val="00112F56"/>
    <w:rsid w:val="00124714"/>
    <w:rsid w:val="00126FED"/>
    <w:rsid w:val="00127351"/>
    <w:rsid w:val="00127B90"/>
    <w:rsid w:val="00134D0E"/>
    <w:rsid w:val="001456EF"/>
    <w:rsid w:val="00160898"/>
    <w:rsid w:val="001808B9"/>
    <w:rsid w:val="001B0437"/>
    <w:rsid w:val="001D2351"/>
    <w:rsid w:val="001E5006"/>
    <w:rsid w:val="001F11D6"/>
    <w:rsid w:val="00210104"/>
    <w:rsid w:val="002141EB"/>
    <w:rsid w:val="00232B5F"/>
    <w:rsid w:val="00247B21"/>
    <w:rsid w:val="00254DD7"/>
    <w:rsid w:val="00260317"/>
    <w:rsid w:val="002E51A2"/>
    <w:rsid w:val="002E7490"/>
    <w:rsid w:val="002F04BC"/>
    <w:rsid w:val="003020E7"/>
    <w:rsid w:val="00381F99"/>
    <w:rsid w:val="00393649"/>
    <w:rsid w:val="003961BA"/>
    <w:rsid w:val="003D05D1"/>
    <w:rsid w:val="003D4F8C"/>
    <w:rsid w:val="003E2632"/>
    <w:rsid w:val="003F4229"/>
    <w:rsid w:val="00411F26"/>
    <w:rsid w:val="00423D9A"/>
    <w:rsid w:val="00476BE5"/>
    <w:rsid w:val="00484059"/>
    <w:rsid w:val="0048505E"/>
    <w:rsid w:val="00485832"/>
    <w:rsid w:val="004A70EA"/>
    <w:rsid w:val="004D1E09"/>
    <w:rsid w:val="004F5B76"/>
    <w:rsid w:val="00502C4B"/>
    <w:rsid w:val="00526BF6"/>
    <w:rsid w:val="00547D38"/>
    <w:rsid w:val="00565336"/>
    <w:rsid w:val="0056538F"/>
    <w:rsid w:val="005739BB"/>
    <w:rsid w:val="005A0769"/>
    <w:rsid w:val="005A6570"/>
    <w:rsid w:val="005B413B"/>
    <w:rsid w:val="005E389D"/>
    <w:rsid w:val="005E56B7"/>
    <w:rsid w:val="005F72B4"/>
    <w:rsid w:val="00604BD9"/>
    <w:rsid w:val="00615C9A"/>
    <w:rsid w:val="00636FA3"/>
    <w:rsid w:val="006504CF"/>
    <w:rsid w:val="00673BE0"/>
    <w:rsid w:val="00694197"/>
    <w:rsid w:val="006A62C1"/>
    <w:rsid w:val="006B46C4"/>
    <w:rsid w:val="006F7CB1"/>
    <w:rsid w:val="00752B24"/>
    <w:rsid w:val="00776F9C"/>
    <w:rsid w:val="007C097F"/>
    <w:rsid w:val="007E0BF5"/>
    <w:rsid w:val="00801F77"/>
    <w:rsid w:val="00805969"/>
    <w:rsid w:val="00842C1C"/>
    <w:rsid w:val="00854730"/>
    <w:rsid w:val="00891597"/>
    <w:rsid w:val="008D2701"/>
    <w:rsid w:val="008D37B1"/>
    <w:rsid w:val="008F49D1"/>
    <w:rsid w:val="00910CD9"/>
    <w:rsid w:val="009322EA"/>
    <w:rsid w:val="00940A8B"/>
    <w:rsid w:val="00964956"/>
    <w:rsid w:val="00965448"/>
    <w:rsid w:val="009C4EC8"/>
    <w:rsid w:val="009C774D"/>
    <w:rsid w:val="009E0971"/>
    <w:rsid w:val="009E2049"/>
    <w:rsid w:val="00A36DEB"/>
    <w:rsid w:val="00A61037"/>
    <w:rsid w:val="00A76149"/>
    <w:rsid w:val="00AB40F4"/>
    <w:rsid w:val="00AC1FC6"/>
    <w:rsid w:val="00AD3C60"/>
    <w:rsid w:val="00AD7EC4"/>
    <w:rsid w:val="00AE0D38"/>
    <w:rsid w:val="00B135F4"/>
    <w:rsid w:val="00B23718"/>
    <w:rsid w:val="00B46A85"/>
    <w:rsid w:val="00B50931"/>
    <w:rsid w:val="00B647D3"/>
    <w:rsid w:val="00B74A21"/>
    <w:rsid w:val="00B75C6A"/>
    <w:rsid w:val="00BA3D3C"/>
    <w:rsid w:val="00C31E43"/>
    <w:rsid w:val="00C457EB"/>
    <w:rsid w:val="00C54CEF"/>
    <w:rsid w:val="00C60B6D"/>
    <w:rsid w:val="00C74787"/>
    <w:rsid w:val="00C75FAB"/>
    <w:rsid w:val="00C77033"/>
    <w:rsid w:val="00C77230"/>
    <w:rsid w:val="00C813C4"/>
    <w:rsid w:val="00CB5F69"/>
    <w:rsid w:val="00CD2918"/>
    <w:rsid w:val="00D13C38"/>
    <w:rsid w:val="00D3246B"/>
    <w:rsid w:val="00D37EF5"/>
    <w:rsid w:val="00D57295"/>
    <w:rsid w:val="00D655ED"/>
    <w:rsid w:val="00D84BA5"/>
    <w:rsid w:val="00DA4F1D"/>
    <w:rsid w:val="00DC2F67"/>
    <w:rsid w:val="00DD5C60"/>
    <w:rsid w:val="00DD60E5"/>
    <w:rsid w:val="00DF69F2"/>
    <w:rsid w:val="00E02C23"/>
    <w:rsid w:val="00E10B94"/>
    <w:rsid w:val="00E3045E"/>
    <w:rsid w:val="00E763FC"/>
    <w:rsid w:val="00E933C1"/>
    <w:rsid w:val="00EA3938"/>
    <w:rsid w:val="00EC7DDB"/>
    <w:rsid w:val="00EE3252"/>
    <w:rsid w:val="00EE4664"/>
    <w:rsid w:val="00EF49C0"/>
    <w:rsid w:val="00F37D5C"/>
    <w:rsid w:val="00F431F8"/>
    <w:rsid w:val="00F47D3A"/>
    <w:rsid w:val="00F82872"/>
    <w:rsid w:val="00F867C2"/>
    <w:rsid w:val="00F91738"/>
    <w:rsid w:val="00FA1505"/>
    <w:rsid w:val="00FA6EB8"/>
    <w:rsid w:val="00FB6935"/>
    <w:rsid w:val="00FB7730"/>
    <w:rsid w:val="00FC3332"/>
    <w:rsid w:val="00FD2A91"/>
    <w:rsid w:val="00FE4612"/>
    <w:rsid w:val="00FE5110"/>
    <w:rsid w:val="00FF6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D67CC5-8797-4517-9356-0ACE9601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8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D38"/>
    <w:pPr>
      <w:ind w:firstLineChars="200" w:firstLine="420"/>
    </w:pPr>
  </w:style>
  <w:style w:type="paragraph" w:styleId="a4">
    <w:name w:val="Normal (Web)"/>
    <w:basedOn w:val="a"/>
    <w:uiPriority w:val="99"/>
    <w:unhideWhenUsed/>
    <w:rsid w:val="00AE0D3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E0D38"/>
  </w:style>
  <w:style w:type="paragraph" w:customStyle="1" w:styleId="p">
    <w:name w:val="p"/>
    <w:basedOn w:val="a"/>
    <w:rsid w:val="00AE0D3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2F0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F04BC"/>
    <w:rPr>
      <w:sz w:val="18"/>
      <w:szCs w:val="18"/>
    </w:rPr>
  </w:style>
  <w:style w:type="paragraph" w:styleId="a6">
    <w:name w:val="footer"/>
    <w:basedOn w:val="a"/>
    <w:link w:val="Char0"/>
    <w:uiPriority w:val="99"/>
    <w:unhideWhenUsed/>
    <w:rsid w:val="002F04BC"/>
    <w:pPr>
      <w:tabs>
        <w:tab w:val="center" w:pos="4153"/>
        <w:tab w:val="right" w:pos="8306"/>
      </w:tabs>
      <w:snapToGrid w:val="0"/>
      <w:jc w:val="left"/>
    </w:pPr>
    <w:rPr>
      <w:sz w:val="18"/>
      <w:szCs w:val="18"/>
    </w:rPr>
  </w:style>
  <w:style w:type="character" w:customStyle="1" w:styleId="Char0">
    <w:name w:val="页脚 Char"/>
    <w:basedOn w:val="a0"/>
    <w:link w:val="a6"/>
    <w:uiPriority w:val="99"/>
    <w:rsid w:val="002F04BC"/>
    <w:rPr>
      <w:sz w:val="18"/>
      <w:szCs w:val="18"/>
    </w:rPr>
  </w:style>
  <w:style w:type="paragraph" w:styleId="a7">
    <w:name w:val="Balloon Text"/>
    <w:basedOn w:val="a"/>
    <w:link w:val="Char1"/>
    <w:uiPriority w:val="99"/>
    <w:semiHidden/>
    <w:unhideWhenUsed/>
    <w:rsid w:val="00854730"/>
    <w:rPr>
      <w:sz w:val="18"/>
      <w:szCs w:val="18"/>
    </w:rPr>
  </w:style>
  <w:style w:type="character" w:customStyle="1" w:styleId="Char1">
    <w:name w:val="批注框文本 Char"/>
    <w:basedOn w:val="a0"/>
    <w:link w:val="a7"/>
    <w:uiPriority w:val="99"/>
    <w:semiHidden/>
    <w:rsid w:val="008547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600728">
      <w:bodyDiv w:val="1"/>
      <w:marLeft w:val="0"/>
      <w:marRight w:val="0"/>
      <w:marTop w:val="0"/>
      <w:marBottom w:val="0"/>
      <w:divBdr>
        <w:top w:val="none" w:sz="0" w:space="0" w:color="auto"/>
        <w:left w:val="none" w:sz="0" w:space="0" w:color="auto"/>
        <w:bottom w:val="none" w:sz="0" w:space="0" w:color="auto"/>
        <w:right w:val="none" w:sz="0" w:space="0" w:color="auto"/>
      </w:divBdr>
      <w:divsChild>
        <w:div w:id="1793858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2426</Characters>
  <Application>Microsoft Office Word</Application>
  <DocSecurity>0</DocSecurity>
  <Lines>20</Lines>
  <Paragraphs>5</Paragraphs>
  <ScaleCrop>false</ScaleCrop>
  <Company>微软中国</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dianqun wang</cp:lastModifiedBy>
  <cp:revision>2</cp:revision>
  <cp:lastPrinted>2018-01-03T06:12:00Z</cp:lastPrinted>
  <dcterms:created xsi:type="dcterms:W3CDTF">2018-01-03T07:27:00Z</dcterms:created>
  <dcterms:modified xsi:type="dcterms:W3CDTF">2018-01-03T07:27:00Z</dcterms:modified>
</cp:coreProperties>
</file>