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33C1" w:rsidRDefault="00C05023" w:rsidP="008D2358">
      <w:pPr>
        <w:spacing w:afterLines="50" w:after="156" w:line="24" w:lineRule="atLeast"/>
        <w:jc w:val="center"/>
        <w:rPr>
          <w:b/>
          <w:color w:val="FF0000"/>
          <w:sz w:val="30"/>
          <w:szCs w:val="30"/>
        </w:rPr>
      </w:pPr>
      <w:r>
        <w:rPr>
          <w:rFonts w:hint="eastAsia"/>
          <w:b/>
          <w:color w:val="FF0000"/>
          <w:sz w:val="30"/>
          <w:szCs w:val="30"/>
        </w:rPr>
        <w:t>CPEC</w:t>
      </w:r>
      <w:r>
        <w:rPr>
          <w:rFonts w:hint="eastAsia"/>
          <w:b/>
          <w:color w:val="FF0000"/>
          <w:sz w:val="30"/>
          <w:szCs w:val="30"/>
        </w:rPr>
        <w:t>向</w:t>
      </w:r>
      <w:r>
        <w:rPr>
          <w:rFonts w:hint="eastAsia"/>
          <w:b/>
          <w:color w:val="FF0000"/>
          <w:sz w:val="30"/>
          <w:szCs w:val="30"/>
        </w:rPr>
        <w:t>CFDA</w:t>
      </w:r>
      <w:r>
        <w:rPr>
          <w:rFonts w:hint="eastAsia"/>
          <w:b/>
          <w:color w:val="FF0000"/>
          <w:sz w:val="30"/>
          <w:szCs w:val="30"/>
        </w:rPr>
        <w:t>递交</w:t>
      </w:r>
      <w:r w:rsidRPr="00CF1B38">
        <w:rPr>
          <w:rFonts w:hint="eastAsia"/>
          <w:b/>
          <w:color w:val="FF0000"/>
          <w:sz w:val="30"/>
          <w:szCs w:val="30"/>
        </w:rPr>
        <w:t>“</w:t>
      </w:r>
      <w:r>
        <w:rPr>
          <w:b/>
          <w:color w:val="FF0000"/>
          <w:sz w:val="30"/>
          <w:szCs w:val="30"/>
        </w:rPr>
        <w:t>关于调整</w:t>
      </w:r>
      <w:r w:rsidR="00B50931" w:rsidRPr="00CF1B38">
        <w:rPr>
          <w:rFonts w:hint="eastAsia"/>
          <w:b/>
          <w:color w:val="FF0000"/>
          <w:sz w:val="30"/>
          <w:szCs w:val="30"/>
        </w:rPr>
        <w:t>原料药、药用辅料和药包材审评审批事项的公告</w:t>
      </w:r>
      <w:r w:rsidR="00112F56" w:rsidRPr="00CF1B38">
        <w:rPr>
          <w:rFonts w:hint="eastAsia"/>
          <w:b/>
          <w:color w:val="FF0000"/>
          <w:sz w:val="30"/>
          <w:szCs w:val="30"/>
        </w:rPr>
        <w:t>”</w:t>
      </w:r>
      <w:r w:rsidR="00B50931" w:rsidRPr="00CF1B38">
        <w:rPr>
          <w:rFonts w:hint="eastAsia"/>
          <w:b/>
          <w:color w:val="FF0000"/>
          <w:sz w:val="30"/>
          <w:szCs w:val="30"/>
        </w:rPr>
        <w:t>的</w:t>
      </w:r>
      <w:r w:rsidR="00854730" w:rsidRPr="00CF1B38">
        <w:rPr>
          <w:rFonts w:hint="eastAsia"/>
          <w:b/>
          <w:color w:val="FF0000"/>
          <w:sz w:val="30"/>
          <w:szCs w:val="30"/>
        </w:rPr>
        <w:t>意见</w:t>
      </w:r>
    </w:p>
    <w:p w:rsidR="008D2358" w:rsidRPr="008D2358" w:rsidRDefault="008D2358" w:rsidP="00C05023">
      <w:pPr>
        <w:spacing w:afterLines="50" w:after="156" w:line="24" w:lineRule="atLeast"/>
        <w:jc w:val="center"/>
        <w:rPr>
          <w:rFonts w:hint="eastAsia"/>
          <w:b/>
          <w:color w:val="FF0000"/>
          <w:sz w:val="30"/>
          <w:szCs w:val="30"/>
        </w:rPr>
      </w:pPr>
      <w:bookmarkStart w:id="0" w:name="_GoBack"/>
      <w:bookmarkEnd w:id="0"/>
    </w:p>
    <w:p w:rsidR="008D37B1" w:rsidRDefault="00F867C2" w:rsidP="009E2049">
      <w:pPr>
        <w:pStyle w:val="a3"/>
        <w:numPr>
          <w:ilvl w:val="0"/>
          <w:numId w:val="15"/>
        </w:numPr>
        <w:spacing w:afterLines="50" w:after="156" w:line="24" w:lineRule="atLeast"/>
        <w:ind w:firstLineChars="0"/>
      </w:pPr>
      <w:r w:rsidRPr="008D37B1">
        <w:rPr>
          <w:rFonts w:hint="eastAsia"/>
        </w:rPr>
        <w:t>针对</w:t>
      </w:r>
      <w:r w:rsidRPr="008D37B1">
        <w:rPr>
          <w:rFonts w:hint="eastAsia"/>
        </w:rPr>
        <w:t xml:space="preserve"> </w:t>
      </w:r>
      <w:r w:rsidR="00112F56">
        <w:rPr>
          <w:rFonts w:hint="eastAsia"/>
        </w:rPr>
        <w:t>“</w:t>
      </w:r>
      <w:r w:rsidRPr="008D37B1">
        <w:t>二、自本公告发布之日起</w:t>
      </w:r>
      <w:r w:rsidR="008D37B1" w:rsidRPr="008D37B1">
        <w:t>，</w:t>
      </w:r>
      <w:r w:rsidRPr="008D37B1">
        <w:t>各级食品药品监督管理部门不再单独受理原料药、药用辅料和药包材注册申请</w:t>
      </w:r>
      <w:r w:rsidR="008D37B1" w:rsidRPr="008D37B1">
        <w:t>，</w:t>
      </w:r>
      <w:r w:rsidRPr="008D37B1">
        <w:t>国家食品药品监督管理总局药品审评中心</w:t>
      </w:r>
      <w:r w:rsidRPr="008D37B1">
        <w:t>(</w:t>
      </w:r>
      <w:r w:rsidRPr="008D37B1">
        <w:t>以下简称药审中心</w:t>
      </w:r>
      <w:r w:rsidRPr="008D37B1">
        <w:t>)</w:t>
      </w:r>
      <w:r w:rsidRPr="008D37B1">
        <w:t>建立原料药、药用辅料和药包材登记平台</w:t>
      </w:r>
      <w:r w:rsidRPr="008D37B1">
        <w:t>(</w:t>
      </w:r>
      <w:r w:rsidRPr="008D37B1">
        <w:t>以下简称为登记平台</w:t>
      </w:r>
      <w:r w:rsidRPr="008D37B1">
        <w:t>)</w:t>
      </w:r>
      <w:r w:rsidRPr="008D37B1">
        <w:t>与数据库</w:t>
      </w:r>
      <w:r w:rsidR="008D37B1" w:rsidRPr="008D37B1">
        <w:t>，</w:t>
      </w:r>
      <w:r w:rsidRPr="008D37B1">
        <w:t>有关企业或者单位可通过登记平台按本公告要求提交原料药、药用辅料和药包材登记资料</w:t>
      </w:r>
      <w:r w:rsidR="008D37B1" w:rsidRPr="008D37B1">
        <w:t>，</w:t>
      </w:r>
      <w:r w:rsidRPr="008D37B1">
        <w:t>获得原料药、药用辅料和药包材登记号</w:t>
      </w:r>
      <w:r w:rsidR="008D37B1" w:rsidRPr="008D37B1">
        <w:t>，</w:t>
      </w:r>
      <w:r w:rsidRPr="008D37B1">
        <w:t>待关联药品制剂提出注册申请后一并审评。</w:t>
      </w:r>
      <w:r w:rsidR="00112F56">
        <w:rPr>
          <w:rFonts w:hint="eastAsia"/>
        </w:rPr>
        <w:t>”</w:t>
      </w:r>
      <w:r w:rsidRPr="008D37B1">
        <w:rPr>
          <w:rFonts w:hint="eastAsia"/>
        </w:rPr>
        <w:t>的</w:t>
      </w:r>
      <w:r w:rsidRPr="008D37B1">
        <w:t>疑问</w:t>
      </w:r>
      <w:r w:rsidR="00E933C1" w:rsidRPr="008D37B1">
        <w:rPr>
          <w:rFonts w:hint="eastAsia"/>
        </w:rPr>
        <w:t>。</w:t>
      </w:r>
    </w:p>
    <w:p w:rsidR="008D37B1" w:rsidRPr="009E2049" w:rsidRDefault="008D37B1" w:rsidP="009E2049">
      <w:pPr>
        <w:pStyle w:val="a3"/>
        <w:numPr>
          <w:ilvl w:val="0"/>
          <w:numId w:val="16"/>
        </w:numPr>
        <w:spacing w:afterLines="50" w:after="156" w:line="24" w:lineRule="atLeast"/>
        <w:ind w:firstLineChars="0"/>
        <w:rPr>
          <w:color w:val="1F4E79" w:themeColor="accent1" w:themeShade="80"/>
        </w:rPr>
      </w:pPr>
      <w:r w:rsidRPr="009E2049">
        <w:rPr>
          <w:color w:val="1F4E79" w:themeColor="accent1" w:themeShade="80"/>
        </w:rPr>
        <w:t>12</w:t>
      </w:r>
      <w:r w:rsidRPr="009E2049">
        <w:rPr>
          <w:rFonts w:hint="eastAsia"/>
          <w:color w:val="1F4E79" w:themeColor="accent1" w:themeShade="80"/>
        </w:rPr>
        <w:t>月</w:t>
      </w:r>
      <w:r w:rsidRPr="009E2049">
        <w:rPr>
          <w:color w:val="1F4E79" w:themeColor="accent1" w:themeShade="80"/>
        </w:rPr>
        <w:t>1</w:t>
      </w:r>
      <w:r w:rsidRPr="009E2049">
        <w:rPr>
          <w:rFonts w:hint="eastAsia"/>
          <w:color w:val="1F4E79" w:themeColor="accent1" w:themeShade="80"/>
        </w:rPr>
        <w:t>日前提交的关联审批资料是否需要重新提交一次备案登记？</w:t>
      </w:r>
    </w:p>
    <w:p w:rsidR="008D37B1" w:rsidRPr="009E2049" w:rsidRDefault="008D37B1" w:rsidP="009E2049">
      <w:pPr>
        <w:pStyle w:val="a3"/>
        <w:numPr>
          <w:ilvl w:val="0"/>
          <w:numId w:val="16"/>
        </w:numPr>
        <w:spacing w:afterLines="50" w:after="156" w:line="24" w:lineRule="atLeast"/>
        <w:ind w:firstLineChars="0"/>
        <w:rPr>
          <w:color w:val="1F4E79" w:themeColor="accent1" w:themeShade="80"/>
        </w:rPr>
      </w:pPr>
      <w:r w:rsidRPr="009E2049">
        <w:rPr>
          <w:rFonts w:hint="eastAsia"/>
          <w:color w:val="1F4E79" w:themeColor="accent1" w:themeShade="80"/>
        </w:rPr>
        <w:t>复配共加工药用辅料如何登记？与普通单个辅料要求一致吗？</w:t>
      </w:r>
    </w:p>
    <w:p w:rsidR="008D37B1" w:rsidRPr="009E2049" w:rsidRDefault="008D37B1" w:rsidP="009E2049">
      <w:pPr>
        <w:pStyle w:val="a3"/>
        <w:numPr>
          <w:ilvl w:val="0"/>
          <w:numId w:val="16"/>
        </w:numPr>
        <w:spacing w:afterLines="50" w:after="156" w:line="24" w:lineRule="atLeast"/>
        <w:ind w:firstLineChars="0"/>
        <w:rPr>
          <w:color w:val="1F4E79" w:themeColor="accent1" w:themeShade="80"/>
        </w:rPr>
      </w:pPr>
      <w:r w:rsidRPr="009E2049">
        <w:rPr>
          <w:rFonts w:hint="eastAsia"/>
          <w:color w:val="1F4E79" w:themeColor="accent1" w:themeShade="80"/>
        </w:rPr>
        <w:t>化工和食品级的产品通过精制加工的药用辅料可以登记吗？</w:t>
      </w:r>
    </w:p>
    <w:p w:rsidR="008D37B1" w:rsidRPr="009E2049" w:rsidRDefault="008D37B1" w:rsidP="009E2049">
      <w:pPr>
        <w:pStyle w:val="a3"/>
        <w:numPr>
          <w:ilvl w:val="0"/>
          <w:numId w:val="16"/>
        </w:numPr>
        <w:spacing w:afterLines="50" w:after="156" w:line="24" w:lineRule="atLeast"/>
        <w:ind w:firstLineChars="0"/>
        <w:rPr>
          <w:color w:val="1F4E79" w:themeColor="accent1" w:themeShade="80"/>
        </w:rPr>
      </w:pPr>
      <w:r w:rsidRPr="009E2049">
        <w:rPr>
          <w:rFonts w:hint="eastAsia"/>
          <w:color w:val="1F4E79" w:themeColor="accent1" w:themeShade="80"/>
        </w:rPr>
        <w:t>药用辅料登记后，所获得的登记号是否可以直接提供给制剂企业作为注册申报用？</w:t>
      </w:r>
    </w:p>
    <w:p w:rsidR="008D37B1" w:rsidRPr="009E2049" w:rsidRDefault="008D37B1" w:rsidP="009E2049">
      <w:pPr>
        <w:pStyle w:val="a3"/>
        <w:numPr>
          <w:ilvl w:val="0"/>
          <w:numId w:val="16"/>
        </w:numPr>
        <w:spacing w:afterLines="50" w:after="156" w:line="24" w:lineRule="atLeast"/>
        <w:ind w:firstLineChars="0"/>
        <w:rPr>
          <w:color w:val="1F4E79" w:themeColor="accent1" w:themeShade="80"/>
        </w:rPr>
      </w:pPr>
      <w:r w:rsidRPr="009E2049">
        <w:rPr>
          <w:color w:val="1F4E79" w:themeColor="accent1" w:themeShade="80"/>
        </w:rPr>
        <w:t>2016</w:t>
      </w:r>
      <w:r w:rsidRPr="009E2049">
        <w:rPr>
          <w:color w:val="1F4E79" w:themeColor="accent1" w:themeShade="80"/>
        </w:rPr>
        <w:t>年第</w:t>
      </w:r>
      <w:r w:rsidRPr="009E2049">
        <w:rPr>
          <w:color w:val="1F4E79" w:themeColor="accent1" w:themeShade="80"/>
        </w:rPr>
        <w:t>134</w:t>
      </w:r>
      <w:r w:rsidRPr="009E2049">
        <w:rPr>
          <w:color w:val="1F4E79" w:themeColor="accent1" w:themeShade="80"/>
        </w:rPr>
        <w:t>号公告附件</w:t>
      </w:r>
      <w:r w:rsidRPr="009E2049">
        <w:rPr>
          <w:color w:val="1F4E79" w:themeColor="accent1" w:themeShade="80"/>
        </w:rPr>
        <w:t>1</w:t>
      </w:r>
      <w:r w:rsidRPr="009E2049">
        <w:rPr>
          <w:color w:val="1F4E79" w:themeColor="accent1" w:themeShade="80"/>
        </w:rPr>
        <w:t>中规定的不纳入关联审评审批的药用辅料</w:t>
      </w:r>
      <w:r w:rsidRPr="009E2049">
        <w:rPr>
          <w:rFonts w:hint="eastAsia"/>
          <w:color w:val="1F4E79" w:themeColor="accent1" w:themeShade="80"/>
        </w:rPr>
        <w:t>，</w:t>
      </w:r>
      <w:r w:rsidRPr="009E2049">
        <w:rPr>
          <w:color w:val="1F4E79" w:themeColor="accent1" w:themeShade="80"/>
        </w:rPr>
        <w:t>如矫味剂、甜味剂、香精、色素等是否允许登记申报？性质类似但未明确列入表中的药用辅料是否允许登记申报？</w:t>
      </w:r>
    </w:p>
    <w:p w:rsidR="008D37B1" w:rsidRPr="009E2049" w:rsidRDefault="008D37B1" w:rsidP="009E2049">
      <w:pPr>
        <w:pStyle w:val="a3"/>
        <w:numPr>
          <w:ilvl w:val="0"/>
          <w:numId w:val="16"/>
        </w:numPr>
        <w:spacing w:afterLines="50" w:after="156" w:line="24" w:lineRule="atLeast"/>
        <w:ind w:firstLineChars="0"/>
        <w:rPr>
          <w:color w:val="1F4E79" w:themeColor="accent1" w:themeShade="80"/>
        </w:rPr>
      </w:pPr>
      <w:r w:rsidRPr="009E2049">
        <w:rPr>
          <w:rFonts w:hint="eastAsia"/>
          <w:color w:val="1F4E79" w:themeColor="accent1" w:themeShade="80"/>
        </w:rPr>
        <w:t>对于某些制剂中长期作为</w:t>
      </w:r>
      <w:r w:rsidRPr="009E2049">
        <w:rPr>
          <w:color w:val="1F4E79" w:themeColor="accent1" w:themeShade="80"/>
        </w:rPr>
        <w:t>原料</w:t>
      </w:r>
      <w:r w:rsidRPr="009E2049">
        <w:rPr>
          <w:rFonts w:hint="eastAsia"/>
          <w:color w:val="1F4E79" w:themeColor="accent1" w:themeShade="80"/>
        </w:rPr>
        <w:t>使用的药用辅料，是</w:t>
      </w:r>
      <w:r w:rsidRPr="009E2049">
        <w:rPr>
          <w:color w:val="1F4E79" w:themeColor="accent1" w:themeShade="80"/>
        </w:rPr>
        <w:t>按照药用辅料登记还是原料药登记？</w:t>
      </w:r>
      <w:r w:rsidRPr="009E2049">
        <w:rPr>
          <w:rFonts w:hint="eastAsia"/>
          <w:color w:val="1F4E79" w:themeColor="accent1" w:themeShade="80"/>
        </w:rPr>
        <w:t>如果上面情况</w:t>
      </w:r>
      <w:r w:rsidRPr="009E2049">
        <w:rPr>
          <w:rFonts w:hint="eastAsia"/>
          <w:color w:val="1F4E79" w:themeColor="accent1" w:themeShade="80"/>
        </w:rPr>
        <w:t>CDE</w:t>
      </w:r>
      <w:r w:rsidRPr="009E2049">
        <w:rPr>
          <w:rFonts w:hint="eastAsia"/>
          <w:color w:val="1F4E79" w:themeColor="accent1" w:themeShade="80"/>
        </w:rPr>
        <w:t>要求用原料药，但中国药典该品种没有该原料药标准时，企业是否可以将此品种先登记为原料药，然后关联审评审批，获该品种的原料药核准编号？</w:t>
      </w:r>
    </w:p>
    <w:p w:rsidR="008D37B1" w:rsidRPr="009E2049" w:rsidRDefault="008D37B1" w:rsidP="009E2049">
      <w:pPr>
        <w:pStyle w:val="a3"/>
        <w:numPr>
          <w:ilvl w:val="0"/>
          <w:numId w:val="16"/>
        </w:numPr>
        <w:spacing w:afterLines="50" w:after="156" w:line="24" w:lineRule="atLeast"/>
        <w:ind w:firstLineChars="0"/>
        <w:rPr>
          <w:color w:val="1F4E79" w:themeColor="accent1" w:themeShade="80"/>
        </w:rPr>
      </w:pPr>
      <w:r w:rsidRPr="009E2049">
        <w:rPr>
          <w:color w:val="1F4E79" w:themeColor="accent1" w:themeShade="80"/>
        </w:rPr>
        <w:t>已获得免临床</w:t>
      </w:r>
      <w:r w:rsidRPr="009E2049">
        <w:rPr>
          <w:rFonts w:hint="eastAsia"/>
          <w:color w:val="1F4E79" w:themeColor="accent1" w:themeShade="80"/>
        </w:rPr>
        <w:t>试验</w:t>
      </w:r>
      <w:r w:rsidRPr="009E2049">
        <w:rPr>
          <w:color w:val="1F4E79" w:themeColor="accent1" w:themeShade="80"/>
        </w:rPr>
        <w:t>申请</w:t>
      </w:r>
      <w:r w:rsidRPr="009E2049">
        <w:rPr>
          <w:rFonts w:hint="eastAsia"/>
          <w:color w:val="1F4E79" w:themeColor="accent1" w:themeShade="80"/>
        </w:rPr>
        <w:t>批件</w:t>
      </w:r>
      <w:r w:rsidRPr="009E2049">
        <w:rPr>
          <w:color w:val="1F4E79" w:themeColor="accent1" w:themeShade="80"/>
        </w:rPr>
        <w:t>的进口药用辅料，是否可以</w:t>
      </w:r>
      <w:r w:rsidRPr="009E2049">
        <w:rPr>
          <w:rFonts w:hint="eastAsia"/>
          <w:color w:val="1F4E79" w:themeColor="accent1" w:themeShade="80"/>
        </w:rPr>
        <w:t>登记后直接</w:t>
      </w:r>
      <w:r w:rsidRPr="009E2049">
        <w:rPr>
          <w:color w:val="1F4E79" w:themeColor="accent1" w:themeShade="80"/>
        </w:rPr>
        <w:t>获得核准编号</w:t>
      </w:r>
      <w:r w:rsidRPr="009E2049">
        <w:rPr>
          <w:rFonts w:hint="eastAsia"/>
          <w:color w:val="1F4E79" w:themeColor="accent1" w:themeShade="80"/>
        </w:rPr>
        <w:t>？</w:t>
      </w:r>
    </w:p>
    <w:p w:rsidR="008D37B1" w:rsidRDefault="008D37B1" w:rsidP="009E2049">
      <w:pPr>
        <w:pStyle w:val="a3"/>
        <w:numPr>
          <w:ilvl w:val="0"/>
          <w:numId w:val="16"/>
        </w:numPr>
        <w:spacing w:afterLines="50" w:after="156" w:line="24" w:lineRule="atLeast"/>
        <w:ind w:firstLineChars="0"/>
        <w:rPr>
          <w:color w:val="1F4E79" w:themeColor="accent1" w:themeShade="80"/>
        </w:rPr>
      </w:pPr>
      <w:r w:rsidRPr="009E2049">
        <w:rPr>
          <w:rFonts w:hint="eastAsia"/>
          <w:color w:val="1F4E79" w:themeColor="accent1" w:themeShade="80"/>
        </w:rPr>
        <w:t>稳定性试验做多长时间能登记（加速</w:t>
      </w:r>
      <w:r w:rsidRPr="009E2049">
        <w:rPr>
          <w:rFonts w:hint="eastAsia"/>
          <w:color w:val="1F4E79" w:themeColor="accent1" w:themeShade="80"/>
        </w:rPr>
        <w:t>6</w:t>
      </w:r>
      <w:r w:rsidRPr="009E2049">
        <w:rPr>
          <w:rFonts w:hint="eastAsia"/>
          <w:color w:val="1F4E79" w:themeColor="accent1" w:themeShade="80"/>
        </w:rPr>
        <w:t>个月还是长期</w:t>
      </w:r>
      <w:r w:rsidRPr="009E2049">
        <w:rPr>
          <w:rFonts w:hint="eastAsia"/>
          <w:color w:val="1F4E79" w:themeColor="accent1" w:themeShade="80"/>
        </w:rPr>
        <w:t>12</w:t>
      </w:r>
      <w:r w:rsidRPr="009E2049">
        <w:rPr>
          <w:rFonts w:hint="eastAsia"/>
          <w:color w:val="1F4E79" w:themeColor="accent1" w:themeShade="80"/>
        </w:rPr>
        <w:t>月）？生产到什么规模能登记（中试还是大生产）？</w:t>
      </w:r>
    </w:p>
    <w:p w:rsidR="00E15CDA" w:rsidRDefault="00E15CDA" w:rsidP="00E15CDA">
      <w:pPr>
        <w:pStyle w:val="a3"/>
        <w:spacing w:afterLines="50" w:after="156" w:line="24" w:lineRule="atLeast"/>
        <w:ind w:left="885" w:firstLineChars="0" w:firstLine="0"/>
        <w:rPr>
          <w:color w:val="1F4E79" w:themeColor="accent1" w:themeShade="80"/>
        </w:rPr>
      </w:pPr>
    </w:p>
    <w:p w:rsidR="00E15CDA" w:rsidRPr="00E15CDA" w:rsidRDefault="00E15CDA" w:rsidP="00E15CDA">
      <w:pPr>
        <w:spacing w:afterLines="50" w:after="156" w:line="24" w:lineRule="atLeast"/>
        <w:rPr>
          <w:color w:val="1F4E79" w:themeColor="accent1" w:themeShade="80"/>
        </w:rPr>
      </w:pPr>
    </w:p>
    <w:p w:rsidR="008D37B1" w:rsidRDefault="008D37B1" w:rsidP="009E2049">
      <w:pPr>
        <w:pStyle w:val="a3"/>
        <w:numPr>
          <w:ilvl w:val="0"/>
          <w:numId w:val="15"/>
        </w:numPr>
        <w:spacing w:afterLines="50" w:after="156" w:line="24" w:lineRule="atLeast"/>
        <w:ind w:firstLineChars="0"/>
      </w:pPr>
      <w:r w:rsidRPr="008D37B1">
        <w:rPr>
          <w:rFonts w:hint="eastAsia"/>
        </w:rPr>
        <w:t>针对</w:t>
      </w:r>
      <w:r w:rsidRPr="008D37B1">
        <w:rPr>
          <w:rFonts w:hint="eastAsia"/>
        </w:rPr>
        <w:t xml:space="preserve"> </w:t>
      </w:r>
      <w:r w:rsidR="00112F56">
        <w:rPr>
          <w:rFonts w:hint="eastAsia"/>
        </w:rPr>
        <w:t>“</w:t>
      </w:r>
      <w:r w:rsidRPr="008D37B1">
        <w:t>四、药用辅料登记资料主要内容</w:t>
      </w:r>
      <w:r w:rsidRPr="008D37B1">
        <w:t>:</w:t>
      </w:r>
      <w:r w:rsidRPr="008D37B1">
        <w:t>企业基本信息、辅料基本信息、生产信息、特性鉴定、质量控制、批检验报告、稳定性研究、药理毒理研究等。具体内容应当符合</w:t>
      </w:r>
      <w:r w:rsidRPr="008D37B1">
        <w:t>&lt;</w:t>
      </w:r>
      <w:r w:rsidRPr="008D37B1">
        <w:t>关于发布药包材药用辅料申报资料要求</w:t>
      </w:r>
      <w:r w:rsidRPr="008D37B1">
        <w:t>(</w:t>
      </w:r>
      <w:r w:rsidRPr="008D37B1">
        <w:t>试行</w:t>
      </w:r>
      <w:r w:rsidRPr="008D37B1">
        <w:t>)</w:t>
      </w:r>
      <w:r w:rsidRPr="008D37B1">
        <w:t>的通告</w:t>
      </w:r>
      <w:r w:rsidRPr="008D37B1">
        <w:t>&gt;(</w:t>
      </w:r>
      <w:r w:rsidRPr="008D37B1">
        <w:t>国家食品药品监督管理总局通告</w:t>
      </w:r>
      <w:r w:rsidRPr="008D37B1">
        <w:t>2016</w:t>
      </w:r>
      <w:r w:rsidRPr="008D37B1">
        <w:t>年第</w:t>
      </w:r>
      <w:r w:rsidRPr="008D37B1">
        <w:t>155</w:t>
      </w:r>
      <w:r w:rsidRPr="008D37B1">
        <w:t>号</w:t>
      </w:r>
      <w:r w:rsidRPr="008D37B1">
        <w:t>)</w:t>
      </w:r>
      <w:r w:rsidRPr="008D37B1">
        <w:t>中药用辅料申报资料要求。</w:t>
      </w:r>
      <w:r w:rsidR="00112F56">
        <w:rPr>
          <w:rFonts w:hint="eastAsia"/>
        </w:rPr>
        <w:t>”</w:t>
      </w:r>
      <w:r w:rsidRPr="008D37B1">
        <w:rPr>
          <w:rFonts w:hint="eastAsia"/>
        </w:rPr>
        <w:t>的</w:t>
      </w:r>
      <w:r w:rsidRPr="008D37B1">
        <w:t>疑问</w:t>
      </w:r>
    </w:p>
    <w:p w:rsidR="008D37B1" w:rsidRPr="009E2049" w:rsidRDefault="00DD60E5" w:rsidP="009E2049">
      <w:pPr>
        <w:pStyle w:val="a3"/>
        <w:numPr>
          <w:ilvl w:val="0"/>
          <w:numId w:val="17"/>
        </w:numPr>
        <w:spacing w:afterLines="50" w:after="156" w:line="24" w:lineRule="atLeast"/>
        <w:ind w:firstLineChars="0"/>
        <w:rPr>
          <w:color w:val="1F4E79" w:themeColor="accent1" w:themeShade="80"/>
        </w:rPr>
      </w:pPr>
      <w:r w:rsidRPr="009E2049">
        <w:rPr>
          <w:color w:val="1F4E79" w:themeColor="accent1" w:themeShade="80"/>
        </w:rPr>
        <w:t>公告发布前已获得批准文号的辅料是否与新辅料申报资料同等要求？已获得批准文号的药用辅料登记内容和要求何时确定</w:t>
      </w:r>
      <w:r w:rsidRPr="009E2049">
        <w:rPr>
          <w:rFonts w:hint="eastAsia"/>
          <w:color w:val="1F4E79" w:themeColor="accent1" w:themeShade="80"/>
        </w:rPr>
        <w:t>？</w:t>
      </w:r>
    </w:p>
    <w:p w:rsidR="00DD60E5" w:rsidRPr="009E2049" w:rsidRDefault="00DD60E5" w:rsidP="009E2049">
      <w:pPr>
        <w:pStyle w:val="a3"/>
        <w:numPr>
          <w:ilvl w:val="0"/>
          <w:numId w:val="17"/>
        </w:numPr>
        <w:spacing w:afterLines="50" w:after="156" w:line="24" w:lineRule="atLeast"/>
        <w:ind w:firstLineChars="0"/>
        <w:rPr>
          <w:color w:val="1F4E79" w:themeColor="accent1" w:themeShade="80"/>
        </w:rPr>
      </w:pPr>
      <w:r w:rsidRPr="009E2049">
        <w:rPr>
          <w:color w:val="1F4E79" w:themeColor="accent1" w:themeShade="80"/>
        </w:rPr>
        <w:t>药典收载的品种的性能指标是否可以直接引入药典标准</w:t>
      </w:r>
      <w:r w:rsidRPr="009E2049">
        <w:rPr>
          <w:rFonts w:hint="eastAsia"/>
          <w:color w:val="1F4E79" w:themeColor="accent1" w:themeShade="80"/>
        </w:rPr>
        <w:t>，</w:t>
      </w:r>
      <w:r w:rsidRPr="009E2049">
        <w:rPr>
          <w:color w:val="1F4E79" w:themeColor="accent1" w:themeShade="80"/>
        </w:rPr>
        <w:t>可否不再进行研究？是否所有理化指标、性能数据均要提供研究资料数据？</w:t>
      </w:r>
    </w:p>
    <w:p w:rsidR="00DD60E5" w:rsidRDefault="00DD60E5" w:rsidP="009E2049">
      <w:pPr>
        <w:pStyle w:val="a3"/>
        <w:numPr>
          <w:ilvl w:val="0"/>
          <w:numId w:val="17"/>
        </w:numPr>
        <w:spacing w:afterLines="50" w:after="156" w:line="24" w:lineRule="atLeast"/>
        <w:ind w:firstLineChars="0"/>
        <w:rPr>
          <w:color w:val="1F4E79" w:themeColor="accent1" w:themeShade="80"/>
        </w:rPr>
      </w:pPr>
      <w:r w:rsidRPr="009E2049">
        <w:rPr>
          <w:color w:val="1F4E79" w:themeColor="accent1" w:themeShade="80"/>
        </w:rPr>
        <w:t>2016</w:t>
      </w:r>
      <w:r w:rsidRPr="009E2049">
        <w:rPr>
          <w:color w:val="1F4E79" w:themeColor="accent1" w:themeShade="80"/>
        </w:rPr>
        <w:t>年</w:t>
      </w:r>
      <w:r w:rsidRPr="009E2049">
        <w:rPr>
          <w:color w:val="1F4E79" w:themeColor="accent1" w:themeShade="80"/>
        </w:rPr>
        <w:t>155</w:t>
      </w:r>
      <w:r w:rsidRPr="009E2049">
        <w:rPr>
          <w:color w:val="1F4E79" w:themeColor="accent1" w:themeShade="80"/>
        </w:rPr>
        <w:t>号文中附件的药包材及药用辅料研制情况申报表和现场核查报告表是否还需</w:t>
      </w:r>
      <w:r w:rsidRPr="009E2049">
        <w:rPr>
          <w:color w:val="1F4E79" w:themeColor="accent1" w:themeShade="80"/>
        </w:rPr>
        <w:lastRenderedPageBreak/>
        <w:t>要提交？是否这个环节取消了？按现在的流程是制剂审评通过后再现场检查。</w:t>
      </w:r>
    </w:p>
    <w:p w:rsidR="00E15CDA" w:rsidRPr="00E15CDA" w:rsidRDefault="00E15CDA" w:rsidP="00E15CDA">
      <w:pPr>
        <w:spacing w:afterLines="50" w:after="156" w:line="24" w:lineRule="atLeast"/>
        <w:rPr>
          <w:color w:val="1F4E79" w:themeColor="accent1" w:themeShade="80"/>
        </w:rPr>
      </w:pPr>
    </w:p>
    <w:p w:rsidR="008D37B1" w:rsidRDefault="008D37B1" w:rsidP="009E2049">
      <w:pPr>
        <w:pStyle w:val="a3"/>
        <w:numPr>
          <w:ilvl w:val="0"/>
          <w:numId w:val="15"/>
        </w:numPr>
        <w:spacing w:afterLines="50" w:after="156" w:line="24" w:lineRule="atLeast"/>
        <w:ind w:firstLineChars="0"/>
      </w:pPr>
      <w:r w:rsidRPr="008D37B1">
        <w:rPr>
          <w:rFonts w:hint="eastAsia"/>
        </w:rPr>
        <w:t>针对</w:t>
      </w:r>
      <w:r w:rsidRPr="008D37B1">
        <w:rPr>
          <w:rFonts w:hint="eastAsia"/>
        </w:rPr>
        <w:t xml:space="preserve"> </w:t>
      </w:r>
      <w:r w:rsidR="00112F56">
        <w:rPr>
          <w:rFonts w:hint="eastAsia"/>
        </w:rPr>
        <w:t>“</w:t>
      </w:r>
      <w:r w:rsidRPr="008D37B1">
        <w:t>八、药品制剂申请人仅供自用的原料药、药用辅料和药包材，或者专供特定药品上市许可持有人使用的原料药、药用辅料和药包材，可在药品制剂申请中同时提交原料药、药用辅料和药包材资料</w:t>
      </w:r>
      <w:r w:rsidRPr="008D37B1">
        <w:t>(</w:t>
      </w:r>
      <w:r w:rsidRPr="008D37B1">
        <w:t>资料要求参照本公告执行</w:t>
      </w:r>
      <w:r w:rsidRPr="008D37B1">
        <w:t>)</w:t>
      </w:r>
      <w:r w:rsidRPr="008D37B1">
        <w:t>，不进行登记。</w:t>
      </w:r>
      <w:r w:rsidR="00112F56">
        <w:rPr>
          <w:rFonts w:hint="eastAsia"/>
        </w:rPr>
        <w:t>”</w:t>
      </w:r>
      <w:r w:rsidRPr="008D37B1">
        <w:rPr>
          <w:rFonts w:hint="eastAsia"/>
        </w:rPr>
        <w:t>的</w:t>
      </w:r>
      <w:r w:rsidRPr="008D37B1">
        <w:t>疑问</w:t>
      </w:r>
    </w:p>
    <w:p w:rsidR="00DD60E5" w:rsidRDefault="00DD60E5" w:rsidP="00752B24">
      <w:pPr>
        <w:pStyle w:val="a3"/>
        <w:numPr>
          <w:ilvl w:val="0"/>
          <w:numId w:val="18"/>
        </w:numPr>
        <w:spacing w:afterLines="50" w:after="156" w:line="24" w:lineRule="atLeast"/>
        <w:ind w:firstLineChars="0"/>
      </w:pPr>
      <w:r w:rsidRPr="00FD2A91">
        <w:rPr>
          <w:rFonts w:hint="eastAsia"/>
          <w:color w:val="1F4E79" w:themeColor="accent1" w:themeShade="80"/>
        </w:rPr>
        <w:t>如何定义</w:t>
      </w:r>
      <w:r w:rsidR="00752B24" w:rsidRPr="00FD2A91">
        <w:rPr>
          <w:rFonts w:hint="eastAsia"/>
          <w:color w:val="1F4E79" w:themeColor="accent1" w:themeShade="80"/>
        </w:rPr>
        <w:t>“</w:t>
      </w:r>
      <w:r w:rsidRPr="00FD2A91">
        <w:rPr>
          <w:rFonts w:hint="eastAsia"/>
          <w:color w:val="1F4E79" w:themeColor="accent1" w:themeShade="80"/>
        </w:rPr>
        <w:t>自用</w:t>
      </w:r>
      <w:r w:rsidR="00C457EB" w:rsidRPr="00FD2A91">
        <w:rPr>
          <w:rFonts w:hint="eastAsia"/>
          <w:color w:val="1F4E79" w:themeColor="accent1" w:themeShade="80"/>
        </w:rPr>
        <w:t>”</w:t>
      </w:r>
      <w:r w:rsidRPr="00FD2A91">
        <w:rPr>
          <w:rFonts w:hint="eastAsia"/>
          <w:color w:val="1F4E79" w:themeColor="accent1" w:themeShade="80"/>
        </w:rPr>
        <w:t>？是指此类原辅包由制剂申请人自己开发的，只用于自己的制剂产品，不对外销售？</w:t>
      </w:r>
      <w:r w:rsidR="00C457EB">
        <w:rPr>
          <w:rFonts w:hint="eastAsia"/>
        </w:rPr>
        <w:t xml:space="preserve"> </w:t>
      </w:r>
    </w:p>
    <w:p w:rsidR="00E15CDA" w:rsidRDefault="00E15CDA" w:rsidP="00E15CDA">
      <w:pPr>
        <w:pStyle w:val="a3"/>
        <w:spacing w:afterLines="50" w:after="156" w:line="24" w:lineRule="atLeast"/>
        <w:ind w:left="885" w:firstLineChars="0" w:firstLine="0"/>
      </w:pPr>
    </w:p>
    <w:p w:rsidR="00E15CDA" w:rsidRDefault="00E15CDA" w:rsidP="00E15CDA">
      <w:pPr>
        <w:pStyle w:val="a3"/>
        <w:spacing w:afterLines="50" w:after="156" w:line="24" w:lineRule="atLeast"/>
        <w:ind w:left="885" w:firstLineChars="0" w:firstLine="0"/>
      </w:pPr>
    </w:p>
    <w:p w:rsidR="008D37B1" w:rsidRDefault="00DD60E5" w:rsidP="009E2049">
      <w:pPr>
        <w:pStyle w:val="a3"/>
        <w:numPr>
          <w:ilvl w:val="0"/>
          <w:numId w:val="15"/>
        </w:numPr>
        <w:spacing w:afterLines="50" w:after="156" w:line="24" w:lineRule="atLeast"/>
        <w:ind w:firstLineChars="0"/>
      </w:pPr>
      <w:r w:rsidRPr="008D37B1">
        <w:rPr>
          <w:rFonts w:hint="eastAsia"/>
        </w:rPr>
        <w:t>针对</w:t>
      </w:r>
      <w:r w:rsidRPr="008D37B1">
        <w:rPr>
          <w:rFonts w:hint="eastAsia"/>
        </w:rPr>
        <w:t xml:space="preserve"> </w:t>
      </w:r>
      <w:r w:rsidR="00112F56">
        <w:rPr>
          <w:rFonts w:hint="eastAsia"/>
        </w:rPr>
        <w:t>“</w:t>
      </w:r>
      <w:r w:rsidRPr="008D37B1">
        <w:t>十、已获得登记号的原料药、药用辅料和药包材企业，应当严格按照国家有关要求进行管理，保证产品质量，并在获得登记号后按年度提交产品质量管理报告</w:t>
      </w:r>
      <w:r w:rsidRPr="008D37B1">
        <w:t>;</w:t>
      </w:r>
      <w:r w:rsidRPr="008D37B1">
        <w:t>在产品发生变更时应当及时在登记平台中变更相关信息，并在实施变更前主动告知使用其产品的药品制剂申请人。</w:t>
      </w:r>
      <w:r w:rsidRPr="008D37B1">
        <w:br/>
      </w:r>
      <w:r w:rsidRPr="008D37B1">
        <w:t>药品制剂申请人应当对选用原料药、药用辅料和药包材的质量负责，充分研究和评估原料药、药用辅料和药包材变更对其产品质量的影响，按照国家食品药品监督管理总局有关规定和相关指导原则进行研究，按要求提出变更申请或者进行备案。</w:t>
      </w:r>
      <w:r w:rsidR="00112F56">
        <w:rPr>
          <w:rFonts w:hint="eastAsia"/>
        </w:rPr>
        <w:t>”</w:t>
      </w:r>
      <w:r w:rsidRPr="008D37B1">
        <w:rPr>
          <w:rFonts w:hint="eastAsia"/>
        </w:rPr>
        <w:t>的</w:t>
      </w:r>
      <w:r w:rsidRPr="008D37B1">
        <w:t>疑问</w:t>
      </w:r>
    </w:p>
    <w:p w:rsidR="00940A8B" w:rsidRPr="009E2049" w:rsidRDefault="00940A8B" w:rsidP="009E2049">
      <w:pPr>
        <w:pStyle w:val="a3"/>
        <w:numPr>
          <w:ilvl w:val="0"/>
          <w:numId w:val="19"/>
        </w:numPr>
        <w:spacing w:afterLines="50" w:after="156" w:line="24" w:lineRule="atLeast"/>
        <w:ind w:firstLineChars="0"/>
        <w:rPr>
          <w:color w:val="1F4E79" w:themeColor="accent1" w:themeShade="80"/>
        </w:rPr>
      </w:pPr>
      <w:r w:rsidRPr="009E2049">
        <w:rPr>
          <w:rFonts w:hint="eastAsia"/>
          <w:color w:val="1F4E79" w:themeColor="accent1" w:themeShade="80"/>
        </w:rPr>
        <w:t>已上市药品制剂变更原料药、药用辅料和药包材的资料申报要求和申报程序？</w:t>
      </w:r>
    </w:p>
    <w:p w:rsidR="009E2049" w:rsidRPr="008D2701" w:rsidRDefault="00940A8B" w:rsidP="008D2701">
      <w:pPr>
        <w:pStyle w:val="a3"/>
        <w:numPr>
          <w:ilvl w:val="0"/>
          <w:numId w:val="19"/>
        </w:numPr>
        <w:spacing w:afterLines="50" w:after="156" w:line="24" w:lineRule="atLeast"/>
        <w:ind w:firstLineChars="0"/>
        <w:rPr>
          <w:color w:val="1F4E79" w:themeColor="accent1" w:themeShade="80"/>
        </w:rPr>
      </w:pPr>
      <w:r w:rsidRPr="009E2049">
        <w:rPr>
          <w:rFonts w:hint="eastAsia"/>
          <w:color w:val="1F4E79" w:themeColor="accent1" w:themeShade="80"/>
        </w:rPr>
        <w:t>已获得批准文号的药用辅料内部变更生产场地，如何申报？</w:t>
      </w:r>
      <w:r w:rsidR="009E2049" w:rsidRPr="008D2701">
        <w:rPr>
          <w:rFonts w:hint="eastAsia"/>
          <w:color w:val="1F4E79" w:themeColor="accent1" w:themeShade="80"/>
        </w:rPr>
        <w:t>制剂审评审批期间，原辅包发生变更（如生产地址变更或生产车间新建扩建），质量维持不变，通知相关制剂客户并不会导致制剂发生重大变更的，是否允许在年度报告中列明？</w:t>
      </w:r>
    </w:p>
    <w:p w:rsidR="00940A8B" w:rsidRPr="009E2049" w:rsidRDefault="00940A8B" w:rsidP="009E2049">
      <w:pPr>
        <w:pStyle w:val="a3"/>
        <w:numPr>
          <w:ilvl w:val="0"/>
          <w:numId w:val="19"/>
        </w:numPr>
        <w:spacing w:afterLines="50" w:after="156" w:line="24" w:lineRule="atLeast"/>
        <w:ind w:firstLineChars="0"/>
        <w:rPr>
          <w:color w:val="1F4E79" w:themeColor="accent1" w:themeShade="80"/>
        </w:rPr>
      </w:pPr>
      <w:r w:rsidRPr="009E2049">
        <w:rPr>
          <w:rFonts w:hint="eastAsia"/>
          <w:color w:val="1F4E79" w:themeColor="accent1" w:themeShade="80"/>
        </w:rPr>
        <w:t>药用辅料的变更，是直接在登记平台上操作吗？如何走流程？</w:t>
      </w:r>
    </w:p>
    <w:p w:rsidR="00940A8B" w:rsidRPr="009E2049" w:rsidRDefault="00940A8B" w:rsidP="009E2049">
      <w:pPr>
        <w:pStyle w:val="a3"/>
        <w:numPr>
          <w:ilvl w:val="0"/>
          <w:numId w:val="19"/>
        </w:numPr>
        <w:spacing w:afterLines="50" w:after="156" w:line="24" w:lineRule="atLeast"/>
        <w:ind w:firstLineChars="0"/>
        <w:rPr>
          <w:color w:val="1F4E79" w:themeColor="accent1" w:themeShade="80"/>
        </w:rPr>
      </w:pPr>
      <w:r w:rsidRPr="009E2049">
        <w:rPr>
          <w:rFonts w:hint="eastAsia"/>
          <w:color w:val="1F4E79" w:themeColor="accent1" w:themeShade="80"/>
        </w:rPr>
        <w:t>拿到登记号的辅料，是否可以在制剂厂辅料供应商变更时，一并对辅料进行审评？</w:t>
      </w:r>
    </w:p>
    <w:p w:rsidR="00940A8B" w:rsidRPr="009E2049" w:rsidRDefault="00940A8B" w:rsidP="009E2049">
      <w:pPr>
        <w:pStyle w:val="a3"/>
        <w:numPr>
          <w:ilvl w:val="0"/>
          <w:numId w:val="19"/>
        </w:numPr>
        <w:spacing w:afterLines="50" w:after="156" w:line="24" w:lineRule="atLeast"/>
        <w:ind w:firstLineChars="0"/>
        <w:rPr>
          <w:color w:val="1F4E79" w:themeColor="accent1" w:themeShade="80"/>
        </w:rPr>
      </w:pPr>
      <w:r w:rsidRPr="009E2049">
        <w:rPr>
          <w:color w:val="1F4E79" w:themeColor="accent1" w:themeShade="80"/>
        </w:rPr>
        <w:t>对于变更辅料供应商的制剂，是否全部需要进行变更申请</w:t>
      </w:r>
      <w:r w:rsidRPr="009E2049">
        <w:rPr>
          <w:rFonts w:hint="eastAsia"/>
          <w:color w:val="1F4E79" w:themeColor="accent1" w:themeShade="80"/>
        </w:rPr>
        <w:t>？</w:t>
      </w:r>
    </w:p>
    <w:p w:rsidR="00940A8B" w:rsidRPr="009E2049" w:rsidRDefault="00940A8B" w:rsidP="009E2049">
      <w:pPr>
        <w:pStyle w:val="a3"/>
        <w:numPr>
          <w:ilvl w:val="0"/>
          <w:numId w:val="19"/>
        </w:numPr>
        <w:spacing w:afterLines="50" w:after="156" w:line="24" w:lineRule="atLeast"/>
        <w:ind w:firstLineChars="0"/>
        <w:rPr>
          <w:color w:val="1F4E79" w:themeColor="accent1" w:themeShade="80"/>
        </w:rPr>
      </w:pPr>
      <w:r w:rsidRPr="009E2049">
        <w:rPr>
          <w:rFonts w:hint="eastAsia"/>
          <w:color w:val="1F4E79" w:themeColor="accent1" w:themeShade="80"/>
        </w:rPr>
        <w:t>如何理解</w:t>
      </w:r>
      <w:r w:rsidR="00112F56">
        <w:rPr>
          <w:rFonts w:hint="eastAsia"/>
          <w:color w:val="1F4E79" w:themeColor="accent1" w:themeShade="80"/>
        </w:rPr>
        <w:t>“</w:t>
      </w:r>
      <w:r w:rsidRPr="009E2049">
        <w:rPr>
          <w:rFonts w:hint="eastAsia"/>
          <w:color w:val="1F4E79" w:themeColor="accent1" w:themeShade="80"/>
        </w:rPr>
        <w:t>在产品发生变更时应当及时在登记平台中变更相关信息，并在实施变更前主动告知使用其产品的药品制剂申请人。</w:t>
      </w:r>
      <w:r w:rsidR="00112F56">
        <w:rPr>
          <w:rFonts w:hint="eastAsia"/>
          <w:color w:val="1F4E79" w:themeColor="accent1" w:themeShade="80"/>
        </w:rPr>
        <w:t>”</w:t>
      </w:r>
      <w:r w:rsidRPr="009E2049">
        <w:rPr>
          <w:rFonts w:hint="eastAsia"/>
          <w:color w:val="1F4E79" w:themeColor="accent1" w:themeShade="80"/>
        </w:rPr>
        <w:t>？如果原料药发生变更，只要在登记平台中及时登记变更相关信息和主动告知客户，需不需要报变更补充申请吗？</w:t>
      </w:r>
    </w:p>
    <w:p w:rsidR="00940A8B" w:rsidRDefault="00940A8B" w:rsidP="009E2049">
      <w:pPr>
        <w:pStyle w:val="a3"/>
        <w:numPr>
          <w:ilvl w:val="0"/>
          <w:numId w:val="19"/>
        </w:numPr>
        <w:spacing w:afterLines="50" w:after="156" w:line="24" w:lineRule="atLeast"/>
        <w:ind w:firstLineChars="0"/>
        <w:rPr>
          <w:color w:val="1F4E79" w:themeColor="accent1" w:themeShade="80"/>
        </w:rPr>
      </w:pPr>
      <w:r w:rsidRPr="009E2049">
        <w:rPr>
          <w:rFonts w:hint="eastAsia"/>
          <w:color w:val="1F4E79" w:themeColor="accent1" w:themeShade="80"/>
        </w:rPr>
        <w:t>按年度提交产品质量管理报告，建议该报告应有统一内容要求（标准格式），</w:t>
      </w:r>
      <w:r w:rsidRPr="009E2049">
        <w:rPr>
          <w:color w:val="1F4E79" w:themeColor="accent1" w:themeShade="80"/>
        </w:rPr>
        <w:t>出台年度质量报告的指南</w:t>
      </w:r>
      <w:r w:rsidRPr="009E2049">
        <w:rPr>
          <w:rFonts w:hint="eastAsia"/>
          <w:color w:val="1F4E79" w:themeColor="accent1" w:themeShade="80"/>
        </w:rPr>
        <w:t>。</w:t>
      </w:r>
    </w:p>
    <w:p w:rsidR="00E15CDA" w:rsidRDefault="00E15CDA" w:rsidP="00E15CDA">
      <w:pPr>
        <w:spacing w:afterLines="50" w:after="156" w:line="24" w:lineRule="atLeast"/>
        <w:rPr>
          <w:color w:val="1F4E79" w:themeColor="accent1" w:themeShade="80"/>
        </w:rPr>
      </w:pPr>
    </w:p>
    <w:p w:rsidR="00E15CDA" w:rsidRPr="00E15CDA" w:rsidRDefault="00E15CDA" w:rsidP="00E15CDA">
      <w:pPr>
        <w:spacing w:afterLines="50" w:after="156" w:line="24" w:lineRule="atLeast"/>
        <w:rPr>
          <w:color w:val="1F4E79" w:themeColor="accent1" w:themeShade="80"/>
        </w:rPr>
      </w:pPr>
    </w:p>
    <w:p w:rsidR="00940A8B" w:rsidRDefault="00940A8B" w:rsidP="009E2049">
      <w:pPr>
        <w:pStyle w:val="a3"/>
        <w:numPr>
          <w:ilvl w:val="0"/>
          <w:numId w:val="15"/>
        </w:numPr>
        <w:spacing w:afterLines="50" w:after="156" w:line="24" w:lineRule="atLeast"/>
        <w:ind w:firstLineChars="0"/>
      </w:pPr>
      <w:r w:rsidRPr="008D37B1">
        <w:rPr>
          <w:rFonts w:hint="eastAsia"/>
        </w:rPr>
        <w:t>针对</w:t>
      </w:r>
      <w:r w:rsidRPr="008D37B1">
        <w:rPr>
          <w:rFonts w:hint="eastAsia"/>
        </w:rPr>
        <w:t xml:space="preserve"> </w:t>
      </w:r>
      <w:r w:rsidR="00112F56">
        <w:rPr>
          <w:rFonts w:hint="eastAsia"/>
        </w:rPr>
        <w:t>“</w:t>
      </w:r>
      <w:r w:rsidRPr="008D37B1">
        <w:t>十二、各省级食品药品监督管理部门负责对本行政区域内的原料药、药用辅料和药包材生产企业的日常监督管理。药品制剂申请审评审批过程中，国家食品药品监督管理总局根据需要组织对涉及的原料药、药用辅料和药包材进行现场检查和检验。</w:t>
      </w:r>
      <w:r w:rsidR="00112F56">
        <w:rPr>
          <w:rFonts w:hint="eastAsia"/>
        </w:rPr>
        <w:t>”</w:t>
      </w:r>
      <w:r w:rsidRPr="008D37B1">
        <w:rPr>
          <w:rFonts w:hint="eastAsia"/>
        </w:rPr>
        <w:t>的</w:t>
      </w:r>
      <w:r w:rsidRPr="008D37B1">
        <w:t>疑问</w:t>
      </w:r>
    </w:p>
    <w:p w:rsidR="00940A8B" w:rsidRPr="009E2049" w:rsidRDefault="00940A8B" w:rsidP="009E2049">
      <w:pPr>
        <w:pStyle w:val="a3"/>
        <w:numPr>
          <w:ilvl w:val="0"/>
          <w:numId w:val="20"/>
        </w:numPr>
        <w:spacing w:afterLines="50" w:after="156" w:line="24" w:lineRule="atLeast"/>
        <w:ind w:firstLineChars="0"/>
        <w:rPr>
          <w:color w:val="1F4E79" w:themeColor="accent1" w:themeShade="80"/>
        </w:rPr>
      </w:pPr>
      <w:r w:rsidRPr="009E2049">
        <w:rPr>
          <w:color w:val="1F4E79" w:themeColor="accent1" w:themeShade="80"/>
        </w:rPr>
        <w:t>出台关联审评过程对辅料、包材的审评指南及注册现场核查等规定。</w:t>
      </w:r>
    </w:p>
    <w:p w:rsidR="00940A8B" w:rsidRDefault="00940A8B" w:rsidP="009E2049">
      <w:pPr>
        <w:pStyle w:val="a3"/>
        <w:numPr>
          <w:ilvl w:val="0"/>
          <w:numId w:val="20"/>
        </w:numPr>
        <w:spacing w:afterLines="50" w:after="156" w:line="24" w:lineRule="atLeast"/>
        <w:ind w:firstLineChars="0"/>
        <w:rPr>
          <w:color w:val="1F4E79" w:themeColor="accent1" w:themeShade="80"/>
        </w:rPr>
      </w:pPr>
      <w:r w:rsidRPr="009E2049">
        <w:rPr>
          <w:color w:val="1F4E79" w:themeColor="accent1" w:themeShade="80"/>
        </w:rPr>
        <w:t>审评过程药用辅料、药包材是否会像以前那样发补，发补的流程如何？</w:t>
      </w:r>
    </w:p>
    <w:p w:rsidR="00E15CDA" w:rsidRDefault="00E15CDA" w:rsidP="00E15CDA">
      <w:pPr>
        <w:spacing w:afterLines="50" w:after="156" w:line="24" w:lineRule="atLeast"/>
        <w:rPr>
          <w:color w:val="1F4E79" w:themeColor="accent1" w:themeShade="80"/>
        </w:rPr>
      </w:pPr>
    </w:p>
    <w:p w:rsidR="00E15CDA" w:rsidRDefault="00E15CDA" w:rsidP="00E15CDA">
      <w:pPr>
        <w:spacing w:afterLines="50" w:after="156" w:line="24" w:lineRule="atLeast"/>
        <w:rPr>
          <w:color w:val="1F4E79" w:themeColor="accent1" w:themeShade="80"/>
        </w:rPr>
      </w:pPr>
    </w:p>
    <w:p w:rsidR="00E15CDA" w:rsidRPr="00E15CDA" w:rsidRDefault="00E15CDA" w:rsidP="00E15CDA">
      <w:pPr>
        <w:spacing w:afterLines="50" w:after="156" w:line="24" w:lineRule="atLeast"/>
        <w:rPr>
          <w:color w:val="1F4E79" w:themeColor="accent1" w:themeShade="80"/>
        </w:rPr>
      </w:pPr>
    </w:p>
    <w:p w:rsidR="00940A8B" w:rsidRDefault="00940A8B" w:rsidP="009E2049">
      <w:pPr>
        <w:pStyle w:val="a3"/>
        <w:numPr>
          <w:ilvl w:val="0"/>
          <w:numId w:val="15"/>
        </w:numPr>
        <w:spacing w:afterLines="50" w:after="156" w:line="24" w:lineRule="atLeast"/>
        <w:ind w:firstLineChars="0"/>
      </w:pPr>
      <w:r w:rsidRPr="008D37B1">
        <w:rPr>
          <w:rFonts w:hint="eastAsia"/>
        </w:rPr>
        <w:t>针对</w:t>
      </w:r>
      <w:r w:rsidRPr="008D37B1">
        <w:rPr>
          <w:rFonts w:hint="eastAsia"/>
        </w:rPr>
        <w:t xml:space="preserve"> </w:t>
      </w:r>
      <w:r w:rsidR="00112F56">
        <w:rPr>
          <w:rFonts w:hint="eastAsia"/>
        </w:rPr>
        <w:t>“</w:t>
      </w:r>
      <w:r w:rsidRPr="008D37B1">
        <w:rPr>
          <w:rFonts w:hint="eastAsia"/>
        </w:rPr>
        <w:t>《药包材药用辅料关联审评审批政策解读（一）》</w:t>
      </w:r>
      <w:r w:rsidR="00112F56">
        <w:rPr>
          <w:rFonts w:hint="eastAsia"/>
        </w:rPr>
        <w:t>”</w:t>
      </w:r>
      <w:r w:rsidRPr="008D37B1">
        <w:rPr>
          <w:rFonts w:hint="eastAsia"/>
        </w:rPr>
        <w:t>的</w:t>
      </w:r>
      <w:r w:rsidRPr="008D37B1">
        <w:t>疑问</w:t>
      </w:r>
    </w:p>
    <w:p w:rsidR="009E2049" w:rsidRPr="009E2049" w:rsidRDefault="009E2049" w:rsidP="009E2049">
      <w:pPr>
        <w:pStyle w:val="a3"/>
        <w:numPr>
          <w:ilvl w:val="0"/>
          <w:numId w:val="21"/>
        </w:numPr>
        <w:spacing w:afterLines="50" w:after="156" w:line="24" w:lineRule="atLeast"/>
        <w:ind w:firstLineChars="0"/>
        <w:rPr>
          <w:color w:val="1F4E79" w:themeColor="accent1" w:themeShade="80"/>
        </w:rPr>
      </w:pPr>
      <w:r w:rsidRPr="009E2049">
        <w:rPr>
          <w:rFonts w:hint="eastAsia"/>
          <w:color w:val="1F4E79" w:themeColor="accent1" w:themeShade="80"/>
        </w:rPr>
        <w:t>《药包材药用辅料关联审评审批政策解读（一）》中被明确列为</w:t>
      </w:r>
      <w:r w:rsidRPr="009E2049">
        <w:rPr>
          <w:color w:val="1F4E79" w:themeColor="accent1" w:themeShade="80"/>
        </w:rPr>
        <w:t>不纳入关联审评审批的药用辅料</w:t>
      </w:r>
      <w:r w:rsidRPr="009E2049">
        <w:rPr>
          <w:rFonts w:hint="eastAsia"/>
          <w:color w:val="1F4E79" w:themeColor="accent1" w:themeShade="80"/>
        </w:rPr>
        <w:t>如何显示其合规性？是否有平台或数据库公示？</w:t>
      </w:r>
    </w:p>
    <w:p w:rsidR="006F7CB1" w:rsidRDefault="009E2049" w:rsidP="009E2049">
      <w:pPr>
        <w:pStyle w:val="a3"/>
        <w:numPr>
          <w:ilvl w:val="0"/>
          <w:numId w:val="21"/>
        </w:numPr>
        <w:spacing w:afterLines="50" w:after="156" w:line="24" w:lineRule="atLeast"/>
        <w:ind w:firstLineChars="0"/>
        <w:rPr>
          <w:color w:val="1F4E79" w:themeColor="accent1" w:themeShade="80"/>
        </w:rPr>
      </w:pPr>
      <w:r w:rsidRPr="009E2049">
        <w:rPr>
          <w:rFonts w:hint="eastAsia"/>
          <w:color w:val="1F4E79" w:themeColor="accent1" w:themeShade="80"/>
        </w:rPr>
        <w:t>原辅同源</w:t>
      </w:r>
      <w:r w:rsidRPr="009E2049">
        <w:rPr>
          <w:color w:val="1F4E79" w:themeColor="accent1" w:themeShade="80"/>
        </w:rPr>
        <w:t>的产品，如</w:t>
      </w:r>
      <w:r w:rsidRPr="009E2049">
        <w:rPr>
          <w:rFonts w:hint="eastAsia"/>
          <w:color w:val="1F4E79" w:themeColor="accent1" w:themeShade="80"/>
        </w:rPr>
        <w:t>磷酸氢钙在《中国药典》中列为原料药，但有制剂客户用作药用辅料，并且在《药包材药用辅料关联审评审批政策解读（一）》中被明确列为</w:t>
      </w:r>
      <w:r w:rsidRPr="009E2049">
        <w:rPr>
          <w:color w:val="1F4E79" w:themeColor="accent1" w:themeShade="80"/>
        </w:rPr>
        <w:t>不纳入关联审评审批的药用辅料</w:t>
      </w:r>
      <w:r w:rsidRPr="009E2049">
        <w:rPr>
          <w:rFonts w:hint="eastAsia"/>
          <w:color w:val="1F4E79" w:themeColor="accent1" w:themeShade="80"/>
        </w:rPr>
        <w:t>，是否需要登记？如何定位？</w:t>
      </w:r>
      <w:r w:rsidR="008D2701" w:rsidRPr="009E2049">
        <w:rPr>
          <w:rFonts w:hint="eastAsia"/>
          <w:color w:val="1F4E79" w:themeColor="accent1" w:themeShade="80"/>
        </w:rPr>
        <w:t xml:space="preserve"> </w:t>
      </w:r>
    </w:p>
    <w:p w:rsidR="00E15CDA" w:rsidRDefault="00E15CDA" w:rsidP="00E15CDA">
      <w:pPr>
        <w:spacing w:afterLines="50" w:after="156" w:line="24" w:lineRule="atLeast"/>
        <w:rPr>
          <w:color w:val="1F4E79" w:themeColor="accent1" w:themeShade="80"/>
        </w:rPr>
      </w:pPr>
    </w:p>
    <w:p w:rsidR="00E15CDA" w:rsidRPr="00E15CDA" w:rsidRDefault="00E15CDA" w:rsidP="00E15CDA">
      <w:pPr>
        <w:spacing w:afterLines="50" w:after="156" w:line="24" w:lineRule="atLeast"/>
        <w:rPr>
          <w:color w:val="1F4E79" w:themeColor="accent1" w:themeShade="80"/>
        </w:rPr>
      </w:pPr>
    </w:p>
    <w:p w:rsidR="005A6570" w:rsidRDefault="005A6570" w:rsidP="009E2049">
      <w:pPr>
        <w:spacing w:afterLines="50" w:after="156" w:line="24" w:lineRule="atLeast"/>
      </w:pPr>
    </w:p>
    <w:p w:rsidR="00E15CDA" w:rsidRDefault="00E15CDA" w:rsidP="009E2049">
      <w:pPr>
        <w:spacing w:afterLines="50" w:after="156" w:line="24" w:lineRule="atLeast"/>
      </w:pPr>
    </w:p>
    <w:p w:rsidR="00E15CDA" w:rsidRDefault="00E15CDA" w:rsidP="009E2049">
      <w:pPr>
        <w:spacing w:afterLines="50" w:after="156" w:line="24" w:lineRule="atLeast"/>
      </w:pPr>
    </w:p>
    <w:p w:rsidR="00E15CDA" w:rsidRDefault="00E15CDA" w:rsidP="009E2049">
      <w:pPr>
        <w:spacing w:afterLines="50" w:after="156" w:line="24" w:lineRule="atLeast"/>
      </w:pPr>
    </w:p>
    <w:p w:rsidR="00E15CDA" w:rsidRDefault="00E15CDA" w:rsidP="009E2049">
      <w:pPr>
        <w:spacing w:afterLines="50" w:after="156" w:line="24" w:lineRule="atLeast"/>
      </w:pPr>
    </w:p>
    <w:p w:rsidR="00E15CDA" w:rsidRDefault="00E15CDA" w:rsidP="009E2049">
      <w:pPr>
        <w:spacing w:afterLines="50" w:after="156" w:line="24" w:lineRule="atLeast"/>
      </w:pPr>
    </w:p>
    <w:p w:rsidR="00D768EF" w:rsidRDefault="00D768EF" w:rsidP="009E2049">
      <w:pPr>
        <w:spacing w:afterLines="50" w:after="156" w:line="24" w:lineRule="atLeast"/>
      </w:pPr>
    </w:p>
    <w:p w:rsidR="00D768EF" w:rsidRDefault="00D768EF" w:rsidP="009E2049">
      <w:pPr>
        <w:spacing w:afterLines="50" w:after="156" w:line="24" w:lineRule="atLeast"/>
      </w:pPr>
    </w:p>
    <w:p w:rsidR="00D768EF" w:rsidRDefault="00D768EF" w:rsidP="009E2049">
      <w:pPr>
        <w:spacing w:afterLines="50" w:after="156" w:line="24" w:lineRule="atLeast"/>
      </w:pPr>
    </w:p>
    <w:p w:rsidR="00D768EF" w:rsidRDefault="00D768EF" w:rsidP="009E2049">
      <w:pPr>
        <w:spacing w:afterLines="50" w:after="156" w:line="24" w:lineRule="atLeast"/>
      </w:pPr>
    </w:p>
    <w:p w:rsidR="00D768EF" w:rsidRDefault="00D768EF" w:rsidP="009E2049">
      <w:pPr>
        <w:spacing w:afterLines="50" w:after="156" w:line="24" w:lineRule="atLeast"/>
      </w:pPr>
    </w:p>
    <w:p w:rsidR="00D768EF" w:rsidRDefault="00D768EF" w:rsidP="009E2049">
      <w:pPr>
        <w:spacing w:afterLines="50" w:after="156" w:line="24" w:lineRule="atLeast"/>
      </w:pPr>
    </w:p>
    <w:p w:rsidR="00D768EF" w:rsidRDefault="00D768EF" w:rsidP="009E2049">
      <w:pPr>
        <w:spacing w:afterLines="50" w:after="156" w:line="24" w:lineRule="atLeast"/>
      </w:pPr>
    </w:p>
    <w:p w:rsidR="00C05023" w:rsidRDefault="00C05023" w:rsidP="009E2049">
      <w:pPr>
        <w:spacing w:afterLines="50" w:after="156" w:line="24" w:lineRule="atLeast"/>
      </w:pPr>
    </w:p>
    <w:p w:rsidR="00C05023" w:rsidRDefault="00C05023" w:rsidP="009E2049">
      <w:pPr>
        <w:spacing w:afterLines="50" w:after="156" w:line="24" w:lineRule="atLeast"/>
      </w:pPr>
    </w:p>
    <w:p w:rsidR="00C05023" w:rsidRDefault="00C05023" w:rsidP="009E2049">
      <w:pPr>
        <w:spacing w:afterLines="50" w:after="156" w:line="24" w:lineRule="atLeast"/>
      </w:pPr>
    </w:p>
    <w:p w:rsidR="00C05023" w:rsidRDefault="00C05023" w:rsidP="009E2049">
      <w:pPr>
        <w:spacing w:afterLines="50" w:after="156" w:line="24" w:lineRule="atLeast"/>
      </w:pPr>
    </w:p>
    <w:p w:rsidR="00C05023" w:rsidRDefault="00C05023" w:rsidP="009E2049">
      <w:pPr>
        <w:spacing w:afterLines="50" w:after="156" w:line="24" w:lineRule="atLeast"/>
      </w:pPr>
    </w:p>
    <w:p w:rsidR="00C05023" w:rsidRDefault="00C05023" w:rsidP="009E2049">
      <w:pPr>
        <w:spacing w:afterLines="50" w:after="156" w:line="24" w:lineRule="atLeast"/>
      </w:pPr>
    </w:p>
    <w:p w:rsidR="00C05023" w:rsidRDefault="00C05023" w:rsidP="009E2049">
      <w:pPr>
        <w:spacing w:afterLines="50" w:after="156" w:line="24" w:lineRule="atLeast"/>
      </w:pPr>
    </w:p>
    <w:p w:rsidR="00E15CDA" w:rsidRPr="00E15CDA" w:rsidRDefault="00E15CDA" w:rsidP="009E2049">
      <w:pPr>
        <w:spacing w:afterLines="50" w:after="156" w:line="24" w:lineRule="atLeast"/>
      </w:pPr>
    </w:p>
    <w:sectPr w:rsidR="00E15CDA" w:rsidRPr="00E15CDA" w:rsidSect="00B50931">
      <w:headerReference w:type="default" r:id="rId7"/>
      <w:pgSz w:w="11906" w:h="16838"/>
      <w:pgMar w:top="1191" w:right="1418" w:bottom="1191" w:left="1418" w:header="283"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568B" w:rsidRDefault="007B568B" w:rsidP="002F04BC">
      <w:r>
        <w:separator/>
      </w:r>
    </w:p>
  </w:endnote>
  <w:endnote w:type="continuationSeparator" w:id="0">
    <w:p w:rsidR="007B568B" w:rsidRDefault="007B568B" w:rsidP="002F0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568B" w:rsidRDefault="007B568B" w:rsidP="002F04BC">
      <w:r>
        <w:separator/>
      </w:r>
    </w:p>
  </w:footnote>
  <w:footnote w:type="continuationSeparator" w:id="0">
    <w:p w:rsidR="007B568B" w:rsidRDefault="007B568B" w:rsidP="002F04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0931" w:rsidRDefault="00B50931">
    <w:pPr>
      <w:pStyle w:val="a5"/>
    </w:pPr>
    <w:r>
      <w:rPr>
        <w:noProof/>
      </w:rPr>
      <w:drawing>
        <wp:inline distT="0" distB="0" distL="0" distR="0">
          <wp:extent cx="5759450" cy="11493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文件格式协会-红.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59450" cy="114935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C685E"/>
    <w:multiLevelType w:val="hybridMultilevel"/>
    <w:tmpl w:val="2A0EAA2C"/>
    <w:lvl w:ilvl="0" w:tplc="5626697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1E85611"/>
    <w:multiLevelType w:val="hybridMultilevel"/>
    <w:tmpl w:val="4DEA6CEC"/>
    <w:lvl w:ilvl="0" w:tplc="EAD451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39E02F5"/>
    <w:multiLevelType w:val="hybridMultilevel"/>
    <w:tmpl w:val="2DB28D98"/>
    <w:lvl w:ilvl="0" w:tplc="393AED6E">
      <w:start w:val="1"/>
      <w:numFmt w:val="decimal"/>
      <w:lvlText w:val="%1."/>
      <w:lvlJc w:val="left"/>
      <w:pPr>
        <w:ind w:left="885" w:hanging="360"/>
      </w:pPr>
      <w:rPr>
        <w:rFonts w:hint="default"/>
      </w:r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abstractNum w:abstractNumId="3" w15:restartNumberingAfterBreak="0">
    <w:nsid w:val="07451CC3"/>
    <w:multiLevelType w:val="hybridMultilevel"/>
    <w:tmpl w:val="A4B893E6"/>
    <w:lvl w:ilvl="0" w:tplc="BA2240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AFD4934"/>
    <w:multiLevelType w:val="hybridMultilevel"/>
    <w:tmpl w:val="CA442C44"/>
    <w:lvl w:ilvl="0" w:tplc="09625C6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0EDD5A27"/>
    <w:multiLevelType w:val="hybridMultilevel"/>
    <w:tmpl w:val="F37091EC"/>
    <w:lvl w:ilvl="0" w:tplc="C0B46A9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08E53CC"/>
    <w:multiLevelType w:val="hybridMultilevel"/>
    <w:tmpl w:val="3DC644B4"/>
    <w:lvl w:ilvl="0" w:tplc="1F2E908E">
      <w:start w:val="1"/>
      <w:numFmt w:val="decimal"/>
      <w:lvlText w:val="%1."/>
      <w:lvlJc w:val="left"/>
      <w:pPr>
        <w:ind w:left="885" w:hanging="360"/>
      </w:pPr>
      <w:rPr>
        <w:rFonts w:hint="default"/>
      </w:r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abstractNum w:abstractNumId="7" w15:restartNumberingAfterBreak="0">
    <w:nsid w:val="14A35FC6"/>
    <w:multiLevelType w:val="hybridMultilevel"/>
    <w:tmpl w:val="AFB680AE"/>
    <w:lvl w:ilvl="0" w:tplc="1E84F6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AB12FFB"/>
    <w:multiLevelType w:val="hybridMultilevel"/>
    <w:tmpl w:val="DADE387E"/>
    <w:lvl w:ilvl="0" w:tplc="9C9208BE">
      <w:start w:val="1"/>
      <w:numFmt w:val="decimal"/>
      <w:lvlText w:val="%1."/>
      <w:lvlJc w:val="left"/>
      <w:pPr>
        <w:ind w:left="360" w:hanging="360"/>
      </w:pPr>
      <w:rPr>
        <w:rFonts w:ascii="Calibri" w:eastAsia="宋体" w:hAnsi="Calibri" w:cs="Calibri" w:hint="default"/>
        <w:color w:val="1F497D"/>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F826A47"/>
    <w:multiLevelType w:val="hybridMultilevel"/>
    <w:tmpl w:val="CF989408"/>
    <w:lvl w:ilvl="0" w:tplc="E72E5024">
      <w:start w:val="1"/>
      <w:numFmt w:val="decimal"/>
      <w:lvlText w:val="%1."/>
      <w:lvlJc w:val="left"/>
      <w:pPr>
        <w:ind w:left="360" w:hanging="360"/>
      </w:pPr>
      <w:rPr>
        <w:rFonts w:cstheme="minorHAnsi" w:hint="default"/>
        <w:color w:val="1F497D"/>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7147022"/>
    <w:multiLevelType w:val="hybridMultilevel"/>
    <w:tmpl w:val="5BC89E0A"/>
    <w:lvl w:ilvl="0" w:tplc="8620EEBC">
      <w:start w:val="1"/>
      <w:numFmt w:val="decimal"/>
      <w:lvlText w:val="%1."/>
      <w:lvlJc w:val="left"/>
      <w:pPr>
        <w:ind w:left="885" w:hanging="360"/>
      </w:pPr>
      <w:rPr>
        <w:rFonts w:hint="default"/>
      </w:r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abstractNum w:abstractNumId="11" w15:restartNumberingAfterBreak="0">
    <w:nsid w:val="28921068"/>
    <w:multiLevelType w:val="hybridMultilevel"/>
    <w:tmpl w:val="2626CFF0"/>
    <w:lvl w:ilvl="0" w:tplc="CA6AD63A">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FB1476C"/>
    <w:multiLevelType w:val="hybridMultilevel"/>
    <w:tmpl w:val="389892C8"/>
    <w:lvl w:ilvl="0" w:tplc="784EBCB6">
      <w:start w:val="1"/>
      <w:numFmt w:val="decimal"/>
      <w:lvlText w:val="%1."/>
      <w:lvlJc w:val="left"/>
      <w:pPr>
        <w:ind w:left="360" w:hanging="360"/>
      </w:pPr>
      <w:rPr>
        <w:rFonts w:asciiTheme="minorEastAsia" w:eastAsiaTheme="minorEastAsia" w:hAnsiTheme="minorEastAsia" w:cs="宋体" w:hint="default"/>
        <w:b/>
        <w:color w:val="333333"/>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55E09AF"/>
    <w:multiLevelType w:val="hybridMultilevel"/>
    <w:tmpl w:val="38AEDE86"/>
    <w:lvl w:ilvl="0" w:tplc="C0E6C0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5BC1E6B"/>
    <w:multiLevelType w:val="hybridMultilevel"/>
    <w:tmpl w:val="CEF2B096"/>
    <w:lvl w:ilvl="0" w:tplc="A6FCA0AE">
      <w:start w:val="1"/>
      <w:numFmt w:val="decimal"/>
      <w:lvlText w:val="%1."/>
      <w:lvlJc w:val="left"/>
      <w:pPr>
        <w:ind w:left="885" w:hanging="360"/>
      </w:pPr>
      <w:rPr>
        <w:rFonts w:hint="default"/>
      </w:r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abstractNum w:abstractNumId="15" w15:restartNumberingAfterBreak="0">
    <w:nsid w:val="372F437E"/>
    <w:multiLevelType w:val="hybridMultilevel"/>
    <w:tmpl w:val="0818DB10"/>
    <w:lvl w:ilvl="0" w:tplc="B1D2432E">
      <w:start w:val="1"/>
      <w:numFmt w:val="decimal"/>
      <w:lvlText w:val="%1."/>
      <w:lvlJc w:val="left"/>
      <w:pPr>
        <w:ind w:left="360" w:hanging="360"/>
      </w:pPr>
      <w:rPr>
        <w:rFonts w:ascii="Calibri" w:eastAsia="宋体" w:hAnsi="Calibri" w:cs="Calibri"/>
        <w:color w:val="1F497D"/>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849159C"/>
    <w:multiLevelType w:val="hybridMultilevel"/>
    <w:tmpl w:val="A0B84CFA"/>
    <w:lvl w:ilvl="0" w:tplc="66D0A59A">
      <w:start w:val="1"/>
      <w:numFmt w:val="japaneseCounting"/>
      <w:lvlText w:val="%1、"/>
      <w:lvlJc w:val="left"/>
      <w:pPr>
        <w:ind w:left="720" w:hanging="72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865454A"/>
    <w:multiLevelType w:val="hybridMultilevel"/>
    <w:tmpl w:val="5186EBD4"/>
    <w:lvl w:ilvl="0" w:tplc="CFFA2492">
      <w:start w:val="1"/>
      <w:numFmt w:val="decimal"/>
      <w:lvlText w:val="%1."/>
      <w:lvlJc w:val="left"/>
      <w:pPr>
        <w:ind w:left="885" w:hanging="360"/>
      </w:pPr>
      <w:rPr>
        <w:rFonts w:hint="default"/>
      </w:r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abstractNum w:abstractNumId="18" w15:restartNumberingAfterBreak="0">
    <w:nsid w:val="3CD57094"/>
    <w:multiLevelType w:val="hybridMultilevel"/>
    <w:tmpl w:val="C0342A4C"/>
    <w:lvl w:ilvl="0" w:tplc="7EB695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01C45D5"/>
    <w:multiLevelType w:val="hybridMultilevel"/>
    <w:tmpl w:val="2D2E951A"/>
    <w:lvl w:ilvl="0" w:tplc="90E080F0">
      <w:start w:val="1"/>
      <w:numFmt w:val="japaneseCounting"/>
      <w:lvlText w:val="%1、"/>
      <w:lvlJc w:val="left"/>
      <w:pPr>
        <w:ind w:left="525" w:hanging="525"/>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5C07867"/>
    <w:multiLevelType w:val="hybridMultilevel"/>
    <w:tmpl w:val="E5F47126"/>
    <w:lvl w:ilvl="0" w:tplc="28D016C4">
      <w:start w:val="1"/>
      <w:numFmt w:val="decimal"/>
      <w:lvlText w:val="%1."/>
      <w:lvlJc w:val="left"/>
      <w:pPr>
        <w:ind w:left="885" w:hanging="360"/>
      </w:pPr>
      <w:rPr>
        <w:rFonts w:hint="default"/>
      </w:r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abstractNum w:abstractNumId="21" w15:restartNumberingAfterBreak="0">
    <w:nsid w:val="595A1EA4"/>
    <w:multiLevelType w:val="hybridMultilevel"/>
    <w:tmpl w:val="FAEE253C"/>
    <w:lvl w:ilvl="0" w:tplc="C5B2ED6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2" w15:restartNumberingAfterBreak="0">
    <w:nsid w:val="5A083BF5"/>
    <w:multiLevelType w:val="hybridMultilevel"/>
    <w:tmpl w:val="28F0D6C2"/>
    <w:lvl w:ilvl="0" w:tplc="5F4ECC32">
      <w:start w:val="1"/>
      <w:numFmt w:val="decimal"/>
      <w:lvlText w:val="%1."/>
      <w:lvlJc w:val="left"/>
      <w:pPr>
        <w:ind w:left="885" w:hanging="360"/>
      </w:pPr>
      <w:rPr>
        <w:rFonts w:hint="default"/>
      </w:r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abstractNum w:abstractNumId="23" w15:restartNumberingAfterBreak="0">
    <w:nsid w:val="6E9F223E"/>
    <w:multiLevelType w:val="hybridMultilevel"/>
    <w:tmpl w:val="45ECEB54"/>
    <w:lvl w:ilvl="0" w:tplc="5526FD04">
      <w:start w:val="1"/>
      <w:numFmt w:val="decimal"/>
      <w:lvlText w:val="%1."/>
      <w:lvlJc w:val="left"/>
      <w:pPr>
        <w:ind w:left="360" w:hanging="360"/>
      </w:pPr>
      <w:rPr>
        <w:rFonts w:ascii="Calibri" w:hAnsi="Calibri" w:cs="Calibri" w:hint="default"/>
        <w:color w:val="1F497D"/>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734B4C1E"/>
    <w:multiLevelType w:val="hybridMultilevel"/>
    <w:tmpl w:val="15E2C9AC"/>
    <w:lvl w:ilvl="0" w:tplc="7A9E7186">
      <w:start w:val="1"/>
      <w:numFmt w:val="decimal"/>
      <w:lvlText w:val="%1."/>
      <w:lvlJc w:val="left"/>
      <w:pPr>
        <w:ind w:left="360" w:hanging="360"/>
      </w:pPr>
      <w:rPr>
        <w:rFonts w:ascii="Calibri" w:eastAsiaTheme="minorEastAsia" w:hAnsi="Calibri" w:cs="Calibr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3"/>
  </w:num>
  <w:num w:numId="3">
    <w:abstractNumId w:val="8"/>
  </w:num>
  <w:num w:numId="4">
    <w:abstractNumId w:val="3"/>
  </w:num>
  <w:num w:numId="5">
    <w:abstractNumId w:val="18"/>
  </w:num>
  <w:num w:numId="6">
    <w:abstractNumId w:val="9"/>
  </w:num>
  <w:num w:numId="7">
    <w:abstractNumId w:val="24"/>
  </w:num>
  <w:num w:numId="8">
    <w:abstractNumId w:val="15"/>
  </w:num>
  <w:num w:numId="9">
    <w:abstractNumId w:val="12"/>
  </w:num>
  <w:num w:numId="10">
    <w:abstractNumId w:val="7"/>
  </w:num>
  <w:num w:numId="11">
    <w:abstractNumId w:val="1"/>
  </w:num>
  <w:num w:numId="12">
    <w:abstractNumId w:val="5"/>
  </w:num>
  <w:num w:numId="13">
    <w:abstractNumId w:val="13"/>
  </w:num>
  <w:num w:numId="14">
    <w:abstractNumId w:val="16"/>
  </w:num>
  <w:num w:numId="15">
    <w:abstractNumId w:val="19"/>
  </w:num>
  <w:num w:numId="16">
    <w:abstractNumId w:val="14"/>
  </w:num>
  <w:num w:numId="17">
    <w:abstractNumId w:val="10"/>
  </w:num>
  <w:num w:numId="18">
    <w:abstractNumId w:val="2"/>
  </w:num>
  <w:num w:numId="19">
    <w:abstractNumId w:val="6"/>
  </w:num>
  <w:num w:numId="20">
    <w:abstractNumId w:val="22"/>
  </w:num>
  <w:num w:numId="21">
    <w:abstractNumId w:val="17"/>
  </w:num>
  <w:num w:numId="22">
    <w:abstractNumId w:val="20"/>
  </w:num>
  <w:num w:numId="23">
    <w:abstractNumId w:val="11"/>
  </w:num>
  <w:num w:numId="24">
    <w:abstractNumId w:val="21"/>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351"/>
    <w:rsid w:val="00073158"/>
    <w:rsid w:val="000F45AA"/>
    <w:rsid w:val="00112F56"/>
    <w:rsid w:val="00127B90"/>
    <w:rsid w:val="001B0437"/>
    <w:rsid w:val="001D2351"/>
    <w:rsid w:val="00232B5F"/>
    <w:rsid w:val="00247B21"/>
    <w:rsid w:val="002E7490"/>
    <w:rsid w:val="002F04BC"/>
    <w:rsid w:val="003D4F8C"/>
    <w:rsid w:val="003E2632"/>
    <w:rsid w:val="00411F26"/>
    <w:rsid w:val="00423D9A"/>
    <w:rsid w:val="004A70EA"/>
    <w:rsid w:val="004F5B76"/>
    <w:rsid w:val="00502C4B"/>
    <w:rsid w:val="005739BB"/>
    <w:rsid w:val="005A0769"/>
    <w:rsid w:val="005A6570"/>
    <w:rsid w:val="005E389D"/>
    <w:rsid w:val="005E56B7"/>
    <w:rsid w:val="00636FA3"/>
    <w:rsid w:val="006504CF"/>
    <w:rsid w:val="00673BE0"/>
    <w:rsid w:val="00694197"/>
    <w:rsid w:val="006B46C4"/>
    <w:rsid w:val="006F7CB1"/>
    <w:rsid w:val="00721744"/>
    <w:rsid w:val="00752B24"/>
    <w:rsid w:val="007B568B"/>
    <w:rsid w:val="007D46A8"/>
    <w:rsid w:val="00842C1C"/>
    <w:rsid w:val="00854730"/>
    <w:rsid w:val="008D2358"/>
    <w:rsid w:val="008D2701"/>
    <w:rsid w:val="008D37B1"/>
    <w:rsid w:val="009322EA"/>
    <w:rsid w:val="00940A8B"/>
    <w:rsid w:val="00964956"/>
    <w:rsid w:val="009E2049"/>
    <w:rsid w:val="00A36DEB"/>
    <w:rsid w:val="00AC1FC6"/>
    <w:rsid w:val="00AD7EC4"/>
    <w:rsid w:val="00AE0D38"/>
    <w:rsid w:val="00B23718"/>
    <w:rsid w:val="00B50931"/>
    <w:rsid w:val="00B75C6A"/>
    <w:rsid w:val="00C05023"/>
    <w:rsid w:val="00C457EB"/>
    <w:rsid w:val="00C74787"/>
    <w:rsid w:val="00C77033"/>
    <w:rsid w:val="00C77230"/>
    <w:rsid w:val="00CF1B38"/>
    <w:rsid w:val="00D142F6"/>
    <w:rsid w:val="00D3246B"/>
    <w:rsid w:val="00D57295"/>
    <w:rsid w:val="00D768EF"/>
    <w:rsid w:val="00DA4F1D"/>
    <w:rsid w:val="00DC2F67"/>
    <w:rsid w:val="00DD60E5"/>
    <w:rsid w:val="00DF69F2"/>
    <w:rsid w:val="00E02C23"/>
    <w:rsid w:val="00E10B94"/>
    <w:rsid w:val="00E15CDA"/>
    <w:rsid w:val="00E763FC"/>
    <w:rsid w:val="00E933C1"/>
    <w:rsid w:val="00F47D3A"/>
    <w:rsid w:val="00F82872"/>
    <w:rsid w:val="00F867C2"/>
    <w:rsid w:val="00FD2A9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DFB6E12-1DEC-4E9E-A159-E3E591FD9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287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0D38"/>
    <w:pPr>
      <w:ind w:firstLineChars="200" w:firstLine="420"/>
    </w:pPr>
  </w:style>
  <w:style w:type="paragraph" w:styleId="a4">
    <w:name w:val="Normal (Web)"/>
    <w:basedOn w:val="a"/>
    <w:uiPriority w:val="99"/>
    <w:unhideWhenUsed/>
    <w:rsid w:val="00AE0D38"/>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AE0D38"/>
  </w:style>
  <w:style w:type="paragraph" w:customStyle="1" w:styleId="p">
    <w:name w:val="p"/>
    <w:basedOn w:val="a"/>
    <w:rsid w:val="00AE0D38"/>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Char"/>
    <w:uiPriority w:val="99"/>
    <w:unhideWhenUsed/>
    <w:rsid w:val="002F04B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2F04BC"/>
    <w:rPr>
      <w:sz w:val="18"/>
      <w:szCs w:val="18"/>
    </w:rPr>
  </w:style>
  <w:style w:type="paragraph" w:styleId="a6">
    <w:name w:val="footer"/>
    <w:basedOn w:val="a"/>
    <w:link w:val="Char0"/>
    <w:uiPriority w:val="99"/>
    <w:unhideWhenUsed/>
    <w:rsid w:val="002F04BC"/>
    <w:pPr>
      <w:tabs>
        <w:tab w:val="center" w:pos="4153"/>
        <w:tab w:val="right" w:pos="8306"/>
      </w:tabs>
      <w:snapToGrid w:val="0"/>
      <w:jc w:val="left"/>
    </w:pPr>
    <w:rPr>
      <w:sz w:val="18"/>
      <w:szCs w:val="18"/>
    </w:rPr>
  </w:style>
  <w:style w:type="character" w:customStyle="1" w:styleId="Char0">
    <w:name w:val="页脚 Char"/>
    <w:basedOn w:val="a0"/>
    <w:link w:val="a6"/>
    <w:uiPriority w:val="99"/>
    <w:rsid w:val="002F04BC"/>
    <w:rPr>
      <w:sz w:val="18"/>
      <w:szCs w:val="18"/>
    </w:rPr>
  </w:style>
  <w:style w:type="paragraph" w:styleId="a7">
    <w:name w:val="Balloon Text"/>
    <w:basedOn w:val="a"/>
    <w:link w:val="Char1"/>
    <w:uiPriority w:val="99"/>
    <w:semiHidden/>
    <w:unhideWhenUsed/>
    <w:rsid w:val="00854730"/>
    <w:rPr>
      <w:sz w:val="18"/>
      <w:szCs w:val="18"/>
    </w:rPr>
  </w:style>
  <w:style w:type="character" w:customStyle="1" w:styleId="Char1">
    <w:name w:val="批注框文本 Char"/>
    <w:basedOn w:val="a0"/>
    <w:link w:val="a7"/>
    <w:uiPriority w:val="99"/>
    <w:semiHidden/>
    <w:rsid w:val="0085473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1600728">
      <w:bodyDiv w:val="1"/>
      <w:marLeft w:val="0"/>
      <w:marRight w:val="0"/>
      <w:marTop w:val="0"/>
      <w:marBottom w:val="0"/>
      <w:divBdr>
        <w:top w:val="none" w:sz="0" w:space="0" w:color="auto"/>
        <w:left w:val="none" w:sz="0" w:space="0" w:color="auto"/>
        <w:bottom w:val="none" w:sz="0" w:space="0" w:color="auto"/>
        <w:right w:val="none" w:sz="0" w:space="0" w:color="auto"/>
      </w:divBdr>
      <w:divsChild>
        <w:div w:id="17938589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4</Pages>
  <Words>324</Words>
  <Characters>1849</Characters>
  <Application>Microsoft Office Word</Application>
  <DocSecurity>0</DocSecurity>
  <Lines>15</Lines>
  <Paragraphs>4</Paragraphs>
  <ScaleCrop>false</ScaleCrop>
  <Company>微软中国</Company>
  <LinksUpToDate>false</LinksUpToDate>
  <CharactersWithSpaces>2169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SEELE</cp:lastModifiedBy>
  <cp:revision>10</cp:revision>
  <dcterms:created xsi:type="dcterms:W3CDTF">2017-12-15T02:32:00Z</dcterms:created>
  <dcterms:modified xsi:type="dcterms:W3CDTF">2017-12-28T05:46:00Z</dcterms:modified>
</cp:coreProperties>
</file>